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AK.2002.00090 vom 29. April 2005</w:t>
      </w:r>
    </w:p>
    <w:p>
      <w:r>
        <w:t>ZH Sozialversicherungsgericht, 2005-04-29, DE</w:t>
      </w:r>
    </w:p>
    <w:p>
      <w:r>
        <w:rPr>
          <w:b/>
        </w:rPr>
        <w:t xml:space="preserve">Quelle: </w:t>
      </w:r>
      <w:r>
        <w:t>https://mcp.opencaselaw.ch/entscheid/zh_sozialversicherungsgericht_AK.2002.00090</w:t>
      </w:r>
    </w:p>
    <w:p>
      <w:r>
        <w:t>FR: ZH_SOZIALVERSICHERUNGSGERICHT AK.2002.00090 du 29 avril 2005</w:t>
      </w:r>
    </w:p>
    <w:p>
      <w:r>
        <w:t>IT: ZH_SOZIALVERSICHERUNGSGERICHT AK.2002.00090 del 29 aprile 2005</w:t>
      </w:r>
    </w:p>
    <w:p>
      <w:pPr>
        <w:pStyle w:val="Heading2"/>
      </w:pPr>
      <w:r>
        <w:t>Erwägungen</w:t>
      </w:r>
    </w:p>
    <w:p>
      <w:r>
        <w:rPr>
          <w:b/>
        </w:rPr>
        <w:t>E. 4</w:t>
      </w:r>
    </w:p>
    <w:p>
      <w:r>
        <w:t>4.1Â Â Â Â</w:t>
      </w:r>
    </w:p>
    <w:p>
      <w:r>
        <w:t>4.1.1Â Â  Die wesentliche Voraussetzung fÃ¼r die Schadenersatzpflicht besteht nach dem Wortlaut des Art. 52 AHVG darin, dass der Arbeitgeber absichtlich oder grobfahrlÃ¤ssig Vorschriften verletzt hat und dass durch diese Missachtung ein Schaden verursacht worden ist.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186 Erw. 1b und 193 Erw. 2b; ZAK 1985 S. 576 Erw. 2 und 619 Erw. 3a; vgl. auch BGE 121 V 244 Erw. 4b).</w:t>
      </w:r>
    </w:p>
    <w:p>
      <w:r>
        <w:t>4.1.2Â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der Betreffende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202 Erw. 3a; ZAK 1985 S. 51 Erw. 2a und 620 Erw. 3b).</w:t>
      </w:r>
    </w:p>
    <w:p>
      <w:r>
        <w:t>4.1.3Â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203 Erw. 3b).</w:t>
      </w:r>
    </w:p>
    <w:p>
      <w:r>
        <w:t>4.2Â Â Â Â  Wie bereits vorstehend erwÃ¤hnt (Erw. 3.5), hat die A.___ wiederholt Zahlungspflichten verletzt; sie hat aber auch die ihr sonst zukommenden Arbeitgeberpflichten nicht genÃ¼gend beachtet. Dies allein genÃ¼gt, um in der Regel die volle Schadensdeckung nach sich zu ziehen, denn die Ausgleichskasse darf davon ausgehen, dass die Arbeitgeberin die Vorschriften absichtlich oder grobfahrlÃ¤ssig verletzt hat, sofern keine Anhaltspunkte fÃ¼r die RechtmÃ¤ssigkeit des Handelns oder die Schuldlosigkeit der Arbeitgeberin bestehen. Dabei ist es im Rahmen der Mitwirkungspflicht grundsÃ¤tzlich Sache des Schadenersatzpflichtigen, den Nachweis fÃ¼r allfÃ¤llige Rechtfertigungs- oder ExkulpationsgrÃ¼nde zu erbringen. Verwaltung und Gericht prÃ¼fen sodann im Rahmen des Untersuchungsgrundsatzes die Berechtigung der erhobenen Einwendungen.</w:t>
      </w:r>
    </w:p>
    <w:p>
      <w:r>
        <w:rPr>
          <w:b/>
        </w:rPr>
        <w:t>E. 5</w:t>
      </w:r>
    </w:p>
    <w:p>
      <w:r>
        <w:t>5.1Â Â Â Â  Der Beklagte lehnt jegliche Haftung fÃ¼r den der KlÃ¤gerin entstandenen Schaden ab und bestreitet Ã¼berdies, als Organ schuldhaft gehandelt zu haben (Urk. 2/2/E1 und 2/7). Im Einzelnen liess er ausfÃ¼hren (Urk. 19 und 32), er habe das Verwatungsratsmandat seinerzeit nur mit der Zusicherung der verantwortlichen Firmeninhaber C.___ und D.___ Ã¼bernommen, dass die Gesellschaft zu diesem Zeitpunkt keine ungedeckten Verbindlichkeiten aufgewiesen habe. Des weiteren habe er darauf hingewiesen, dass er ohne VermÃ¶gen sei und fÃ¼r allfÃ¤llige Verbindlichkeiten nicht aufkommen kÃ¶nne. Der Prokurist G.___ sei - einzelunterschriftsberechtigt - fÃ¼r die Erledigung der Zahlungen verantwortlich gewesen und habe ihm auch immer wieder versichert, die finanzielle Situation des Unternehmens wÃ¼rde zu keinen Beanstandungen Anlass geben. Es sei ihm nicht bekannt gewesen, dass C.___ und D.___ die Gesellschaft durch GewÃ¤hrung gegenseitiger Darlehen schliesslich zulasten der Sozialversicherungen in den Ruin getrieben hÃ¤tten. Diese beiden Personen seien SchlÃ¼sselfiguren in einem Konglomerat von mindestens vier hauptsÃ¤chlich im PersonalvermittlungsgeschÃ¤ft tÃ¤tig gewesenen Gesellschaften gewesen, deren Buchhaltungen alle Ã¼ber die Administration der A.___ gefÃ¼hrt worden seien. Erst nach seiner Mandatsniederlegung habe er von den Machenschaften erfahren. G.___ habe seines Wissens die alleinige VerfÃ¼gungsmacht Ã¼ber die Konten der Gesellschaft gehabt. Doch habe ihn der Prokurist - wenn er um Einsicht in die Buchhaltung und die JahresabschlÃ¼sse ersucht habe - immer vertrÃ¶stet und auf die PrÃ¼fung durch die Revisionsstelle hingewiesen. Da er weder Computerfachmann noch Buchhalter sei, habe er sich mit der Hinhaltetaktik abfinden mÃ¼ssen. WÃ¤hrend der ganzen Dauer seiner Mitgliedschaft im Verwaltungsrat habe er von keiner Seite irgendeinen Hinweis auf die finanziellen Schwierigkeiten der Gesellschaft erhalten. Er selber habe sich erhofft, als Verwaltungsrat der A.___ nochmals eine finanziell gute Position aufbauen zu kÃ¶nnen, nachdem er in frÃ¼heren Jahren in anderem Zusammenhang um sein bescheidenes VermÃ¶gen gebracht worden sei (Urk. 2/2/E1, 2/7, 19 9 ff. und 32 S. 3 ff.).</w:t>
      </w:r>
    </w:p>
    <w:p>
      <w:r>
        <w:t>5.2Â Â Â Â</w:t>
      </w:r>
    </w:p>
    <w:p>
      <w:r>
        <w:t>5.2.1Â Â  Es ist aktenkundig, dass der Beklagte sich auf ein Inserat, mit welchem D.___ AktienmÃ¤ntel zu kaufen suchte, gemeldet hatte. Er hat ihm darauf die M.___ AG verkauft und wurde schliesslich von D.___ oder C.___ angefragt, ob er weiter Verwaltungsratsmandate Ã¼bernehmen wolle (Urk. 45/2/1 S. 1 f.). Unter diesen UmstÃ¤nden kam es im Dezember 1995 zur Wahl des Beklagten in den Verwaltungsrat der A.___. Man Ã¼bertrug ihm sogar das PrÃ¤sidium; das Honorar betrug nach Angaben des Beklagten Fr. 2'000.--. Als Verwaltungsrat verfÃ¼gte er Ã¼ber ein BÃ¼ro in den GeschÃ¤ftsrÃ¤umlichkeiten der Gesellschaft am N.___; er hat dieses nach eigenen Angaben auch bezogen und zwei Tage pro Woche dort gearbeitet. Das Verwaltungsratshonorar steckte er in die M.___ AG, welche die FÃ¼hrung von TreuhandgeschÃ¤ften und Verwaltungen aller Art zum Zwecke hatte und als deren Verwaltungsrat der Beklagte seit dem Eintrag der Gesellschaft am 27. April 1988 amtete (vgl. Internet-Vollauszug vom 7. April 2005; Urk. 50/1).</w:t>
      </w:r>
    </w:p>
    <w:p>
      <w:r>
        <w:t>Â Â Â Â Â Â Â Â  Der Beklagte war einziges formelles Organ der A.___. Im Handelsregister war nebst ihm G.___ als Prokurist mit Einzelunterschrift verzeichnet. Diesem oblag nach der Darstellung des Beklagten die GeschÃ¤ftsfÃ¼hrung und damit auch der Zahlungsverkehr mit der Ausgleichskasse (Urk. 45/2/1 S. 2). Die Ã¼brigen vom Beklagten genannten mit Blick auf die GeschÃ¤ftspolitik der Gesellschaft massgebenden Personen hatten allenfalls materielle Organstellung. So gesehen lagen jedenfalls hinsichtlich der Verwaltungsstruktur einfache und Ã¼berschaubare VerhÃ¤ltnisse vor, weshalb praxisgemÃ¤ss erhÃ¶hte Anforderungen an Kenntnis und Erledigung von Abrechnungs- und Zahlungsverkehr mit der Ausgleichskasse gestellt werden. Mit der Wahl in den Verwaltungsrat sind unentziehbare und unÃ¼bertragbare Pflichten verbunden, denen sich ein Organ nicht zu entledigen vermag, wobei die fÃ¼r die MandatsÃ¼bernahme ausschlaggebenden BeweggrÃ¼nde keine Rolle spielen. GemÃ¤ss Art. 716 Abs. 2 des Obligationenrechts (OR) fÃ¼hrt der Verwaltungsrat die GeschÃ¤fte der Gesellschaft, soweit er die GeschÃ¤ftsfÃ¼hrung nicht Ã¼bertragen hat. In Art. 716a Abs. 1 OR sind sodann die unÃ¼bertragbaren und unentziehbaren Aufgaben aufgelistet. So obliegt dem Verwaltungsrat insbesondere die Oberleitung der Gesellschaft und die Erteilung der nÃ¶tigen Weisungen (Ziffer 1), die Ausgestaltung des Rechnungswesens, der Finanzkontrolle sowie der Finanzplanung (Ziffer 3) und die Oberaufsicht Ã¼ber die mit der GeschÃ¤ftsfÃ¼hrung betrauten Personen, namentlich im Hinblick auf die Befolgung der Gesetze, Statuten, Reglemente und Weisungen (Ziffer 5). Der Verwaltungsrat einer Aktiengesellschaft hat die mit der GeschÃ¤ftsfÃ¼hrung betrauten Personen zu Ã¼berwachen und sich regelmÃ¤ssig Ã¼ber den GeschÃ¤ftsgang unterrichten zu lassen. Das Gesetz verbietet zwar nicht die Vornahme einer bestimmten Arbeits- und Kompetenzaufteilung, doch die Ãberwachungs- und Kontrollpflichten verbleiben auch dann beim Gesamtverwaltungsrat. Deshalb hat jedes Mitglied des Verwaltungsrats sich periodisch Ã¼ber den GeschÃ¤ftsgang und die wichtigsten GeschÃ¤fte, welche nicht zu seinem primÃ¤ren Aufgabenbereich gehÃ¶ren, zu orientieren, Rapporte zu verlangen, diese sorgfÃ¤ltig zu studieren und nÃ¶tigenfalls ergÃ¤nzende AuskÃ¼nfte einzuholen, IrrtÃ¼mer abzuklÃ¤ren und bei UnregelmÃ¤ssigkeiten einzugreifen (vgl. BGE 114 V 223 Erw. 4a).</w:t>
      </w:r>
    </w:p>
    <w:p>
      <w:r>
        <w:t>5.2.2Â Â  Fest steht aufgrund der Akten, dass die Unternehmung ihren letzten GeschÃ¤ftsabschluss per Ende 1994 erstellt hatte (Urk. 2/8/18) und der Beklagte sich daher bei seinem Eintritt in die Gesellschaft im Dezember 1995 kein Bild Ã¼ber die wahren finanziellen VerhÃ¤ltnisse der Gesellschaft, der er vorstand, zu machen vermochte. Den ihm als Verwaltungsrat obliegenden Aufsichtspflichten ist er im Folgenden nicht nachgekommen. Er vertraute vielmehr den Zusicherungen des GeschÃ¤ftsfÃ¼hrers, es sei alles in Ordnung.</w:t>
      </w:r>
    </w:p>
    <w:p>
      <w:r>
        <w:t>Â Â Â Â Â Â Â Â  Aktenkundig ist weiter, dass der Beklagte an Verwaltungsratssitzungen der A.___ teilgenommen und die Protokolle in seiner Eigenschaft als PrÃ¤sident des Verwaltungsrates unterschrieben hat (Urk. 2/8/9 und 2/8/10). Von G.___ wurde auch bestÃ¤tigt, dass der Beklagte an Sitzungen teilgenommen habe (Urk. 45/1/1 S. 4). Weiter bestÃ¤tigte der als Zeuge aussagende G.___ gegenÃ¼ber den polizeilichen Ermittlungs- und StrafuntersuchungsbehÃ¶rden, dass an diesen Sitzungen finanzielle Angelegenheiten immer Thema gewesen seien. An den Sitzungen, an welchen D.___ und spÃ¤ter C.___ "das Sagen" gehabt hÃ¤tten, sei bestimmt worden, welche Schulden zu bezahlen seien und welche unbezahlt zu bleiben hÃ¤tten. Ausser den LÃ¶hnen sei einfach nichts bezahlt worden. Daher seien die AHV, die SUVA und die Pensionskasse die HauptglÃ¤ubiger gewesen (Urk. 45/1/2 S. 3 f.). In der Branche der Personalvermittlung sei allgemein bekannt, welches die HauptglÃ¤ubiger seien. Ãber die ganze Problematik mit der Begleichung der SozialversicherungsbeitrÃ¤ge sei es an den GeschÃ¤ftsitzungen jeweils gegangen. Die fÃ¼r die Buchhaltung aller Unternehmungen zustÃ¤ndige Frau O.___ habe dabei von sich aus immer wieder Listen Ã¼ber den Stand der Kreditoren ausgedruckt und teilweise auch darauf aufmerksam gemacht, welche Zahlungen ihrer Meinung nach dringend gemacht werden mÃ¼ssten (Urk. 45/1/2 S. 4). G.___ machte diese Aussage gegenÃ¼ber den UntersuchungsbehÃ¶rden in der Einvernahme vom 19. November 1996, in einem Zeitpunkt also, in welchem der Beklagte als Verwaltungsrat nach wie vor im Amt war. Dass der Beklagte Ã¼ber die angespannte Finanzlage orientiert war, geht auch aus seinem Schreiben vom 13. Dezember 1996 hervor, in welchem er sich danach erkundigte, ob sein Mandat fÃ¼r 1997 weitergefÃ¼hrt werde (Urk. 2/8/6). Entgegen seiner Darstellung in der polizeilichen Einvernahme vom 21. April 1999 (Urk. 45/2/1 S. 2) ging es in dem Schreiben nicht um die KlÃ¤rung der Solvenz der Gesellschaft, sondern darum, dass der Beklagte sich angesichts der angespannten Finanzlage der Gesellschaft nach der WeiterfÃ¼hrung des Verwaltungsratsmandates fÃ¼r 1997 erkundigte. Dabei bot er an, bei einer WeiterfÃ¼hrung des Mandates die ihm ausgerichtete EntschÃ¤digung zu reduzieren. Dieses Angebot nahmen L.___ und G.___ namens der A.___ an (vgl. Antwortschreiben vom 17. Dezember 1996; Urk. 2/8/8). Mithin ist erwiesen, dass der Beklagte Ã¼ber die finanzielle Lage der Gesellschaft und die RÃ¼ckstÃ¤nde gegenÃ¼ber der Ausgleichskasse informiert war.</w:t>
      </w:r>
    </w:p>
    <w:p>
      <w:r>
        <w:t>Â Â Â Â Â Â Â Â  Nachdem erst Mitte 1996 der Jahresabschluss fÃ¼r 1994 vorlag, unterliess es der Beklagte in der Folge, den Abschluss des GeschÃ¤ftsjahres 1995 voranzutreiben. Er habe sich zwar beim GeschÃ¤ftsfÃ¼hrer danach erkundigt, doch habe dieser darauf verwiesen, dass die Buchhaltung im RÃ¼ckstand sei. Der Revisionsbericht sei aber in Vorbereitung (Urk. 45/2/1 S. 2). Die gesetzlichen Bestimmungen, wonach die Generalversammlung die Jahresrechnung 1995 bis Mitte 1996 hÃ¤tte abnehmen mÃ¼ssen, bezeichnete der Beklagte als "Theorie". Er sei immer vertrÃ¶stet worden, wenn er den Abschluss moniert habe. Aufgrund der glaubhaften Angaben des GeschÃ¤ftsfÃ¼hrers, die A.___ sei finanziell gesund, habe er keine Veranlassung gehabt, das Verwaltungsratsmandat niederzulegen. Wie der Beklagte sodann selber ausfÃ¼hrte (Urk. 45/2/1 S. 3) und aufgrund der Akten erstellt ist (Urk. 20/5), hatte er im Auftrag von C.___ und D.___ weitere Verwaltungsratsmandate Ã¼bernommen, so z. B. vom 28. Februar 1996 bis zum 17. Juni 1996 in der F.___ AG mit Sitz in K.___.</w:t>
      </w:r>
    </w:p>
    <w:p>
      <w:r>
        <w:t>Â Â Â Â Â Â Â Â  Aufgrund der gesamten UmstÃ¤nde, insbesondere angesichts der immer wieder Ã¼bernommenen Verwaltungsratsmandate (vgl. Internet-AuszÃ¼ge; Urk. 50/2-4), muss der Beklagte, was Rechte und Pflichten eines Verwaltungsrats angeht, als versiert betrachtet werden.</w:t>
      </w:r>
    </w:p>
    <w:p>
      <w:r>
        <w:t>5.2.3Â Â  LÃ¤sst sich ein verantwortungsbewusster Verwaltungsrat wÃ¤hrend eineinhalb Jahren vertrÃ¶sten und kÃ¼mmert er sich nicht aktiv um die Einsichtnahme in die BÃ¼cher respektive bemÃ¼ht er sich nicht um eine ordnungsgemÃ¤sse BuchfÃ¼hrung, so gereicht ihm das grundsÃ¤tzlich zu grobem Verschulden. Gerade von der GeschÃ¤ftsfÃ¼hrung ausgeschlossene VerwaltungsrÃ¤te haben sich um so nachhaltiger um Einblick in die GeschÃ¤ftsbÃ¼cher zu bemÃ¼hen (Urteil des EidgenÃ¶ssischen Versicherungsgerichts vom 4. Juli 2002 in Sachen Z., W., K. und R., H 238/01). Wird der Einblick verweigert oder werden AuskÃ¼nfte nicht oder nicht zufriedenstellend erteilt, so kann sich ein Organ der Haftung nur durch sofortigen RÃ¼cktritt entziehen.</w:t>
      </w:r>
    </w:p>
    <w:p>
      <w:r>
        <w:t>5.3Â Â Â Â  Zu seiner Entlastung beruft sich der Beklagte darauf, dass die Machenschaften der im Hintergrund wirkenden Personen und die VerknÃ¼pfung der einzelnen Unternehmungen vÃ¶llig undurchschaubar gewesen seien. Gegen die Allmacht von C.___ habe er nichts ausrichten kÃ¶nnen; selbst die Buchhalterin und der GeschÃ¤ftsfÃ¼hrer hÃ¤tten einzig nach dessen Anweisungen handeln dÃ¼rfen und dessen Befehle ausfÃ¼hren mÃ¼ssen.</w:t>
      </w:r>
    </w:p>
    <w:p>
      <w:r>
        <w:t>5.4Â Â Â Â  Im Folgenden ist daher im Licht der aus der strafrechlichen Untersuchung gewonnenen Erkenntnisse Ã¼ber die strukturellen VerhÃ¤ltnisse der Gesellschaft, welcher der Beklagte vorstand, zu prÃ¼fen, ob er faktisch daran gehindert wurde, seinen Obliegenheiten als Verwaltungsrat nachzukommen.</w:t>
      </w:r>
    </w:p>
    <w:p>
      <w:r>
        <w:t>Â Â Â Â Â Â Â Â  Die aus der Sicht des Beklagten das Firmenkonglomerat beherrschende Person war ohne Zweifel C.___. Dies wurde durch die strafrechtliche Untersuchung bestÃ¤tigt. Nur bei wenigen Firmen trat er nach aussen in Erscheinung, indem er im Verwaltungsrat war. Auch bei der A.___ war er nie formelles Organ (Urk. 2/4/4). GegrÃ¼ndet wurde das Unternehmen am 31. August 1993 von G.___, D.___ und P.___ (Urk. 45/3/2), wobei dem ersteren 95 Aktien, den beiden andern GrÃ¼ndungsmitglieder drei beziehungsweise zwei Aktien gehÃ¶rten. Unmittelbar nach der GrÃ¼ndung verkaufte G.___ einen Teil und 1994 die restlichen Aktien an L.___ (Urk. 40 S. 7, 45/1/1 S. 2 f.). Sie trat am 16. MÃ¤rz 1994 dem Verwaltungsrat bei und gehÃ¶rte diesem mit Einzelunterschrift bis zum RÃ¼cktritt an der ausserordentlichen Generalversammlung vom 11. Dezember 1995 an (Urk. 2/8/2). Ob sie die Leitung der Gesellschaft C.___ Ã¼bertragen hatte (Urk. 42/7 S. 73) oder ob er sie lediglich beraten hat (Urk. 42/7 S. 21 und 52), ist nicht zweifelsfrei erstellt, ist aber fÃ¼r die Beurteilung des Verschuldens des Beklagten nicht entscheidend.</w:t>
      </w:r>
    </w:p>
    <w:p>
      <w:r>
        <w:t>Â Â Â Â Â Â Â Â  AnlÃ¤sslich der ausserordentlichen Generalversammlung vom 29. Januar 1997 Ã¼bertrug die A.___ ihre gesamten Aktien an die Q.___ AG mit Sitz in K.___ (Urk. 2/8/9). Wie erwÃ¤hnt trat C.___ nur in wenigen Gesellschaften als formeller Verwaltungsrat in Erscheinung. Er wirkte im Hintergrund auf die GeschÃ¤ftspolitik und die GeschÃ¤ftstÃ¤tigkeit der einzelnen Unternehmungen ein, was nach den Ã¼bereinstimmenden Angaben von G.___ und der Buchhalterin O.___ erwiesen ist (Urk. 45/1/1 S. 2 und 4, Urk. 45/1/2 S. 2 f. sowie Urk. 42/1 S. 28, 34 und 81). Aktenkundig ist im Weiteren, dass unter den einzelnen Firmen Darlehen gewÃ¤hrt und empfangen worden sind (Urk. 42/7 S. 82), wobei einem Geldbezugskonto der einen Gesellschaft nicht immer ein Gegenkonto bei der andern Gesellschaft entsprach. Die als "Darlehen" bezeichneten Geldentnahmen wurden daher der Gesellschaft hÃ¤ufig definitiv entzogen (Urk. 42/7 S. 29). Nicht vorhandene Konti wurden teilweise auch erst im Nachhinein - mit Blick auf einen bevorstehenden GeschÃ¤ftsabschluss und die in Aussicht stehende Revision - erÃ¶ffnet; es kam zu verschiedenen Umbuchungen (Urk. 42/7 S. 28-31). So war beispielsweise um den 10. August 1994 bei der S.___ AG ein Kontokorrent "A.___" eingerichtet, von der S.___ Geld abgezogen und pro forma auf diesem Konto "deponiert", aber nie effektiv auf das Konto der A.___ transferiert worden, weil dieses Konto dort bis zum 7. Januar 1997 gar nicht eingerichtet worden war. Im Laufe der Jahre belief sich der von C.___ der A.___ entnommene Betrag, den er unter anderem auch fÃ¼r persÃ¶nliche BedÃ¼rfnisse verwendete, auf Ã¼ber zweihunderttausend Franken; allein 1995 resultierte eine Summe von Fr. 91'079.20 (Urk. 42/7 S. 7).</w:t>
      </w:r>
    </w:p>
    <w:p>
      <w:r>
        <w:t>Â Â Â Â Â Â Â Â  Gegen C.___ wurde im Zusammenhang mit dem Konkurs der verschiedenen Personalverleihfirmen eine strafrechtliche Untersuchung eingeleitet, und es kam letztlich unter anderem wegen mehrfacher qualifizierter ungetreuer GeschÃ¤ftsbesorgung, mehrfacher GlÃ¤ubigerschÃ¤digung, mehrfacher Anstiftung zu UrkundenfÃ¤lschung und betrÃ¼gerischen Konkurses zu einer Verurteilung (vgl. Strafurteil des Bezirksgerichts B.___ vom 30. Juni 2003; Urk. 42/7). Aus dem Entscheid geht hervor (Urk. 42/7 S. 19), dass C.___ in den Zeitspannen, in denen er die Aktienkapitalsmehrheit besessen hatte, auch die wesentlichen GeschÃ¤ftsentscheide getroffen hat (Urk. 42/7 S. 21, 22, 34-35, 37, 44 und 52). Er war faktisches Verwaltungs- und GeschÃ¤ftsfÃ¼hrungsorgan und als solches (im Hintergrund) fÃ¼r die Ausgestaltung des Rechnungswesens, die Finanzplanung und die Finanzkontrolle tatsÃ¤chlich zustÃ¤ndig. Er hat zwar mit der Buchhalterin die Buchhaltungen der Personalverleihgesellschaften im Hinblick auf die JahresabschlÃ¼sse angeschaut. Dazu ist aber auch festzuhalten, dass mit Bezug auf die A.___ der letzte Abschluss betreffend das Jahr 1994 erstellt worden ist. Hernach liegen keine GeschÃ¤ftsabschlÃ¼sse mehr vor.</w:t>
      </w:r>
    </w:p>
    <w:p>
      <w:r>
        <w:t>Â Â Â Â Â Â Â Â  Aufgrund der Unterschriftenregelung hatten somit einzig der Beklagte als Einzeichnungsberechtigter und G.___ mit Einzelprokura die MÃ¶glichkeit, fÃ¼r die Gesellschaft etwas zu veranlassen.</w:t>
      </w:r>
    </w:p>
    <w:p>
      <w:r>
        <w:rPr>
          <w:b/>
        </w:rPr>
        <w:t>E. 5.5</w:t>
      </w:r>
    </w:p>
    <w:p>
      <w:r>
        <w:t>Nachdem feststeht, dass die VerhÃ¤ltnisse innerhalb der A.___ aber auch im Verband der untereinander verknÃ¼pften Unternehmungen alles andere als leicht durchschaubar zu bezeichnen sind, stellt sich die Frage, inwieweit diese Situation die Stellung des Beklagten als Verwaltungsrat tatsÃ¤chlich und entscheidend berÃ¼hrt hat. Der Beklagte argumentiert denn auch immer damit, dass die finanzielle Situation des Unternehmens fÃ¼r ihn damals nicht erkennbar und die deliktische TÃ¤tigkeit der involvierten, tatsÃ¤chlich die GeschÃ¤ftspolitik bestimmenden Personen nicht bekannt gewesen sei. Dieser Auffassung kann gefolgt werden: Das Strafverfahren, das mit in Rechtskraft erwachsenem Urteil gegen C.___ seinen Abschluss fand, belegt, dass C.___ nach Aussen zwar kaum Erscheinung trat, tatsÃ¤chlich aber das entscheidende Sagen gehabt und sich als Grandseigneur aufgefÃ¼hrt habe. Er sei der tatsÃ¤chliche Beherrscher der vier konkursiten Firmen gewesen und habe bezÃ¼glich der Finanzen das Geschehen bestimmt (Urk. 42/7 S. 24 f.). D.___ fÃ¼hrte diesbezÃ¼glich in der Strafuntersuchung aus, es sei ihm gar nicht mÃ¶glich gewesen, fÃ¼r die saubere BuchfÃ¼hrung besorgt zu sein, da dies C.___ nicht gewollt habe, und er sich ihm gegenÃ¼ber nicht habe durchsetzen kÃ¶nnen. Zu undurchschaubaren Transaktionen zwischen den einzelnen Firmen kam es nach dem Ergebnis der Strafuntersuchung auch aufgrund gegenseitig gewÃ¤hrter Darlehen, die nicht immer korrekt verbucht wurden und was letztlich zu einer Verschleierung der tatsÃ¤chlichen finanziellen Lage der einzelnen Unternehmungen fÃ¼hrte (Urk. 42/7 S. 37). Weiter erschwerend wirkte sich der Umstand aus, das C.___ fÃ¼r sich persÃ¶nlich einen Franken fÃ¼r jeden von einem Mitarbeiter der Gesellschaften geleistete TemporÃ¤rstunde beansprucht hat. Diese BezÃ¼ge wurden aber bewusst nicht als beitragspflichtiger Lohn deklariert, sondern als Darlehen verbucht. Mit dem darlehensweisen Bezug vermied C.___, dass auf diesen BezÃ¼gen SozialversicherungsbeitrÃ¤ge abgefÃ¼hrt werden mussten. Verbuchungen wurden - ungeachtet der Korrektheit - so vorgenommen wie es der HauptaktionÃ¤r C.___ gewÃ¼nscht habe. Zwar besass C.___ in der A.___ selber keine Aktien, doch fungierte er hier als Berater der HauptaktionÃ¤rin L.___ und Ã¼bte so seinen Einfluss auf die Geschicke dieser Gesellschaft indirekt aus (Urk. 42/7 S. 33 und 54).</w:t>
      </w:r>
    </w:p>
    <w:p>
      <w:r>
        <w:t>Â Â Â Â Â Â Â Â  Die gegenseitige Verstrickung der Unternehmen ergibt sich auch aus der Tatsache, dass wÃ¶chentlich zu entscheiden war, mit welchen Mitteln die LÃ¶hne jeweils Ã¼berhaupt ausbezahlt werden konnten. Das Geld fÃ¼r die Lohnzahlungen wurde dabei dort abgebucht, wo es gerade vorhanden war; es wurde nicht in Abrede gestellt, dass das den Sozialversicherungen geschuldete Geld als zinsloses Darlehen verwendet worden war. Diese Vorgehensweise, die ebenfalls mittels gegenseitiger Darlehens- und KontokorrentverhÃ¤ltnissen abgewickelt wurde, hatte zur Folge, dass viele Buchungsfehler auftraten, die wieder auskorrigiert werden mussten. Dass die Buchhaltung fÃ¼r alle Gesellschaften Ã¼ber die A.___ abgewickelt wurde, wirkte sich als zusÃ¤tzliches Erschwernis aus.</w:t>
      </w:r>
    </w:p>
    <w:p>
      <w:r>
        <w:t>Â Â Â Â Â Â Â Â  Unter BerÃ¼cksichtigung dieser konkreten UmstÃ¤nde kann nicht mehr von einfachen Verwaltungsstrukturen gesprochen werden, kÃ¶nnen doch die tatsÃ¤chlichen Verstrickungen der einzelnen Unternehmungen fÃ¼r den Beklagten nicht in ihrer gesamten Tragweite durchschaubar gewesen sein, zumal die involvierten Personen kein Interesse daran hatten, die wahren VerhÃ¤ltnisse offen zu legen. Seine PassivitÃ¤t, die Tatsache, dass er sich immer wieder vertrÃ¶sten liess und angesichts der positiv gehaltenen AuskÃ¼nfte von G.___ darauf vertraute, dass alles in Ordnung sei, ist ihm nicht als schweres Verschulden anzulasten. Mithin fÃ¤llt ein haftungsbegrÃ¼ndendes qualifiziertes Verschulden, wie es Art. 52 AHVG fÃ¼r die Schadenersatzverpflichtung verlangt, ausser Betracht. Mangels eines qualifizierten Verschuldens hat der Beklagte als Organ der A.___ fÃ¼r den der KlÃ¤gerin entstandenen Schaden somit nicht einzustehen.</w:t>
      </w:r>
    </w:p>
    <w:p>
      <w:r>
        <w:t>5.6Â Â Â Â  Der VollstÃ¤ndigkeit halber ist auf den Ã¼berdies fehlenden adÃ¤quaten Kausalzusammenhang hinzuweisen. Wohl hÃ¤tte der Beklagte die MÃ¶glichkeit gehabt, zu insistieren, um beispielsweise ordnungsgemÃ¤sse GeschÃ¤ftsabschlÃ¼sse zu erwirken, und er hÃ¤tte mit dem RÃ¼cktritt aus dem Verwaltungsrat reagieren kÃ¶nnen. Es ist jedoch zweifelhaft, ob angesichts der allseits vorliegenden Absicht der massgebenden Personen zur Verschleierung der wahren Gegebenheiten mehr Licht ins Geschehen hÃ¤tte gebracht werden kÃ¶nnen. Selbst wenn der Beklagte sich den notwendigen Ein- und Ãberblick hÃ¤tte verschaffen kÃ¶nnen, bleibt es mehr als fraglich, ob er mit einer frÃ¼heren Intervention die Entstehung des Schadens hÃ¤tte verhindern kÃ¶nnen. Die Machenschaften waren nicht einmal fÃ¼r die engsten Mitarbeiter und Mitarbeiterinnen in ihrer vollen Tragweite durchschaubar. Aufgrund der jahrelangen stetigen AushÃ¶hlung der einzelnen Gesellschaften mangelte es der A.___ stets an LiquiditÃ¤t (vgl. Anklageschrift vom 2. Oktober 2002; Urk. 42/8 S. 4). Die Ãberschuldungssituation habe ab Ende 1994 bestanden. Von 1995 bis 1997 bis seien keine ordnungsgemÃ¤ssen Jahresrechnungen mehr erstellt, geprÃ¼ft oder abgenommen worden. Ab FrÃ¼hjahr 1996 sei die A.___ nicht mehr in der Lage gewesen, ihren Verbindlichkeiten nachzukommen. Obwohl noch bis im FrÃ¼hling, d.h. MÃ¤rz, 1997 Angestellte beschÃ¤ftigt und LÃ¶hne ausbezahlt worden sind und verschiedentlich sogar darauf verwiesen wurde, die LÃ¶hne seien praktisch die einzigen Verbindlichkeiten gewesen, denen man bis zum Schluss nachgekommen sei (Urk. 45/1/1 S. 4), ist nicht Ã¼berwiegend wahrscheinlich, dass mit einem Personalabbau die zur Bezahlung der ausstehenden SozialversicherungsbeitrÃ¤ge notwendigen Mittel hÃ¤tten bereit gestellt werden kÃ¶nnen. Selbst wenn von einem groben Verschulden des Beklagten ausgegangen werden mÃ¼sste, mangelt es am adÃ¤quaten Kausalzusammenhang zwischen der Missachtung von Vorschriften und dem eingetretenen Schaden (BGE 119 V 406 Erw. 4a mit Hinweisen; vgl. auch BGE 122 V 189 sowie 119 Ib 343 Erw. 3c).</w:t>
      </w:r>
    </w:p>
    <w:p>
      <w:r>
        <w:t>Â Â Â Â Â Â Â Â  Zusammenfassend ergibt sich demnach, dass die Klage im Umfang der bundesrechtlich geschuldeten SozialversicherungsbeitrÃ¤ge von Fr. 228'829.90 abzuweisen ist.</w:t>
      </w:r>
    </w:p>
    <w:p>
      <w:r>
        <w:rPr>
          <w:b/>
        </w:rPr>
        <w:t>E. 6</w:t>
      </w:r>
    </w:p>
    <w:p>
      <w:r>
        <w:t>6.1Â Â Â Â  Bei diesem Verfahrensausgang wird die KlÃ¤gerin nach Art. 61 lit. g ATSG und Â§ 34 Abs. 1 des Gesetzes Ã¼ber das Sozialversicherungsgericht entschÃ¤digungspflichtig. Bei der Festsetzung der ParteientschÃ¤digung besteht ein weiter Ermessensspielraum. Massgebend sind Wichtigkeit und Schwierigkeit der Streitsache sowie Umfang und Zeitaufwand der Arbeitsleistung (BGE 114 V 87 Erw. 4b).</w:t>
      </w:r>
    </w:p>
    <w:p>
      <w:r>
        <w:t>6.2Â Â Â Â  Der Rechtsvertreter des Beklagten beziffert seine BemÃ¼hungen gemÃ¤ss der Kostennote vom 15. April 2005 (Urk. 51) mit 55,4 Stunden, was aufgrund des vor dem Sozialversicherungsgericht Ã¼blichen Stundenansatzes von Fr. 200.-- einen Betrag von Fr. 11'080.-- ergibt. Barauslagen macht er in der HÃ¶he von insgesamt Fr. 275.-- (Fotokopien Fr. 187.--, Telefon und Porti Fr. 88.--) geltend; die Mehrwertsteuer betrÃ¤gt Fr. 863.--. Ausserdem verlangt der Rechtsvertreter den Ersatz von Fr. 220.90 fÃ¼r ihm im Zusammenhang mit Handelsregisterakten erwachsene Auslagen.</w:t>
      </w:r>
    </w:p>
    <w:p>
      <w:r>
        <w:t>Â Â Â Â Â Â Â Â  Der Honorarnote (Urk. 51) ist zu entnehmen, dass der Rechtsvertreter verschiedene Telefonate mit dem Konkursamt, der Bezirksanwaltschaft B.___ aber auch mit dem Bezirksgericht B.___ sowie mit dem Bezirksgericht H.___ respektive dem Obergericht des Kantons I.___ gefÃ¼hrt und mit dem Bezirksgericht B.___ auch schriftlich korrespondiert hat. Insgesamt seien dafÃ¼r 366 beziehungsweise 102 Minuten aufgewendet worden. Telefonate und Korrespondenz wurden offensichtlich im Zusammenhang mit dem gegen C.___ hÃ¤ngig gewesenen Strafverfahren getÃ¤tigt. Dabei ist zu beachten, dass Rechtsanwalt Dr. Kull beim Sozialversicherungsgericht den Antrag auf Beizug der Strafakten gestellt hat, welchem Antrag das Gericht auch entsprochen hat (Urk. 19 S. 3). Es ist daher nicht nachvollziehbar, weshalb Telefonate mit den betreffenden Amtsstellen im Umfang von insgesamt 468 Minuten oder sieben Stunden 48 Minuten unerlÃ¤sslich gewesen sein sollen.</w:t>
      </w:r>
    </w:p>
    <w:p>
      <w:r>
        <w:t>Â Â Â Â Â Â Â Â  Ebenfalls ist die Notwendigkeit eines Telefonates mit einer potentiellen Zeugin im Umfang von 30 Minuten und mit einer nicht namentlich bezeichneten Auskunftsperson (48 Minuten) nicht ersichtlich und daher nicht zu entschÃ¤digen.</w:t>
      </w:r>
    </w:p>
    <w:p>
      <w:r>
        <w:t>Â Â Â Â Â Â Â Â  Im Weiteren fÃ¤llt auf, dass Rechtsanwalt Kull fÃ¼r das Abfassen der 13seitigen Klageantwortschrift einen Aufwand von rund 16 Stunden in Rechnung stellt (nÃ¤mlich 180 Minuten am 8. Mai 2003 einschliesslich Aktenstudium, Schreiben von Klient mit Beilagen geprÃ¼ft; 120 Minuten Akten- und Praxisstudium am 13. Mai 2003; 480 Minuten Rechtsschrift diktiert am 14. Mai 2003 und schliesslich 186 Minuten Korrektur der Rechtsschrift). Dieser Aufwand muss selbst angesichts der Schwierigkeit und der Bedeutung der Streitsache, die als nicht ganz einfach beziehungsweise fÃ¼r den Beklagten als gross zu bezeichnen ist, als Ã¼berhÃ¶ht bezeichnet werden. Das Gleiche gilt fÃ¼r die Redaktion der Duplik (Urk. 32), fÃ¼r deren vier Seiten materielle AusfÃ¼hrungen umfassende Rechtsschrift 288 Minuten oder vier Stunden 48 Minuten veranschlagt werden. Nach richterlichem Ermessen erscheint hierzu ein Aufwand von insgesamt sechs Stunden als angemessen.</w:t>
      </w:r>
    </w:p>
    <w:p>
      <w:r>
        <w:t>Â Â Â Â Â Â Â Â  Im Ãbrigen ist die eingereichte Kostennote nicht zu beanstanden. Nach dem Gesagten ist der geltend gemachte Aufwand um 468 Minuten Telefonate mit diversen Amtsstellen, 78 Minuten Telefonat mit Zeugin respektive Auskunftsperson und 840 Minuten Redaktion der Rechtsschriften zu kÃ¼rzen. Demnach verbleibt ein zu entschÃ¤digender Zeitaufwand von 32,3 Stunden (3324 Minuten abzÃ¼glich 1386 Minuten). Beim gerichtsÃ¼blichen Stundenansatz von Fr. 200.-- und von 7,6 % Mehrwertsteuer resultiert demnach eine EntschÃ¤digung von Fr. 6'950.95. Dazu kommen Barauslagen von Fr. 275.-- zuzÃ¼glich Mehrwertsteuer im Betrag von Fr. 20.90 und GebÃ¼hren im Zusammenhang mit Handelsregisterakten in der HÃ¶he von Fr. 220.90 (Urk. 51 S. 4). Insgesamt ist die EntschÃ¤digung zulasten der KlÃ¤gerin auf Fr. 7'467.75 festzusetzen.</w:t>
      </w:r>
    </w:p>
    <w:p>
      <w:r>
        <w:t>Â Â Â Â Â Â Â Â  Â</w:t>
      </w:r>
    </w:p>
    <w:p>
      <w:r>
        <w:t>Das Gericht erkennt:</w:t>
      </w:r>
    </w:p>
    <w:p>
      <w:r>
        <w:t>1.Â Â Â Â Â Â Â Â  Die Klage wird abgewiesen.</w:t>
      </w:r>
    </w:p>
    <w:p>
      <w:r>
        <w:t>2.Â Â Â Â Â Â Â Â  Das Verfahren ist kostenlos.</w:t>
      </w:r>
    </w:p>
    <w:p>
      <w:r>
        <w:t>3Â Â Â Â Â Â Â Â  Die Sozialversicherungsanstalt des Kantons ZÃ¼rich, Ausgleichskasse, wird verpflichtet, dem unentgeltlichen Rechtsvertreter des Beklagten, Rechtsanwalt Dr. Claudius Kull, ZÃ¼rich, eine ProzessentschÃ¤digung von Fr. 7'467.75 (inkl. Barauslagen und MWSt) zu bezahlen.</w:t>
      </w:r>
    </w:p>
    <w:p>
      <w:r>
        <w:t>4. Zustellung gegen Empfangsschein an:</w:t>
      </w:r>
    </w:p>
    <w:p>
      <w:r>
        <w:t>- Sozialversicherungsanstalt des Kantons ZÃ¼rich, Ausgleichskasse, unter Beilage einer Kopie von Urk. 49</w:t>
      </w:r>
    </w:p>
    <w:p>
      <w:r>
        <w:t>- Rechtsanwalt Dr. Claudius Kull unter Beilage einer Kopie von Urk. 48</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