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AK.2002.00045 vom 24. November 2003</w:t>
      </w:r>
    </w:p>
    <w:p>
      <w:r>
        <w:t>ZH Sozialversicherungsgericht, 2003-11-24, DE</w:t>
      </w:r>
    </w:p>
    <w:p>
      <w:r>
        <w:rPr>
          <w:b/>
        </w:rPr>
        <w:t xml:space="preserve">Quelle: </w:t>
      </w:r>
      <w:r>
        <w:t>https://mcp.opencaselaw.ch/entscheid/zh_sozialversicherungsgericht_AK.2002.00045</w:t>
      </w:r>
    </w:p>
    <w:p>
      <w:r>
        <w:t>FR: ZH_SOZIALVERSICHERUNGSGERICHT AK.2002.00045 du 24 novembre 2003</w:t>
      </w:r>
    </w:p>
    <w:p>
      <w:r>
        <w:t>IT: ZH_SOZIALVERSICHERUNGSGERICHT AK.2002.00045 del 24 novembre 2003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2.1Â Â Â Â  GemÃ¤ss dem Urteil des EidgenÃ¶ssischen Versicherungsgerichts vom 3. Juli 2002 (Urk. 1) ist davon auszugehen, dass die A.___ AG (vormals: O.___ AG, nachfolgend O. genannt) gegen die Abrechnungs- und Beitragszahlungspflicht verstossen hat und der Ausgleichskasse ein Schaden in der HÃ¶he von Fr. 68'561.20 entstanden ist (Urk. 1 Erw. 4). Das EidgenÃ¶ssische Versicherungsgericht hat sodann verbindlich festgestellt, dass die SchadenersatzverfÃ¼gung vom 26. Februar 1999 rechtzeitig erlassen worden und die geltend gemachte Schadenersatzforderung demnach nicht verwirkt ist (Urk. 1 Erw. 5).</w:t>
      </w:r>
    </w:p>
    <w:p>
      <w:r>
        <w:t>2.2Â Â Â Â  Streitig und zu prÃ¼fen ist hingegen, ob die Beklagte subsidiÃ¤r fÃ¼r den der Ausgleichskasse entstandenen Schaden haftbar erklÃ¤rt werden kann. Dies lÃ¤sst die Beklagte mit der BegrÃ¼ndung bestreiten, sie habe bereits im Jahre 1996, auf welches sich die SchadenersatzverfÃ¼gung beziehe, faktisch schon lÃ¤ngere Zeit Ã¼berhaupt keine Bindung mehr zur Firma A.___ AG unterhalten, nachdem es 1994 zum vollstÃ¤ndigen Bruch mit Ehemann und VerwaltungsratsprÃ¤sident B.___ gekommen sei. Obwohl der Eintrag als VerwaltungsrÃ¤tin im Handelsregister erst am 29. Mai 1997 gelÃ¶scht worden sei, sei sie effektiv bereits frÃ¼her aus dem Verwaltungsrat ausgeschieden.</w:t>
      </w:r>
    </w:p>
    <w:p>
      <w:r>
        <w:rPr>
          <w:b/>
        </w:rPr>
        <w:t>E. 3</w:t>
      </w:r>
    </w:p>
    <w:p>
      <w:r>
        <w:t>Â Â Â Â Â Â Â  Der Beklagten wird keine ProzessentschÃ¤digung zugesprochen.</w:t>
      </w:r>
    </w:p>
    <w:p>
      <w:r>
        <w:t>4.Â Â Â Â Â Â Â Â  Zustellung gegen Empfangsschein an:</w:t>
      </w:r>
    </w:p>
    <w:p>
      <w:r>
        <w:t>- Sozialversicherungsanstalt des Kantons ZÃ¼rich, Ausgleichskasse, unter Beilage einer Kopie von Urk. 22</w:t>
      </w:r>
    </w:p>
    <w:p>
      <w:r>
        <w:t>- Rechtsanwalt Thomas Frey unter Beilage einer Kopie von Urk. 21</w:t>
      </w:r>
    </w:p>
    <w:p>
      <w:r>
        <w:t>- Bundesamt fÃ¼r Sozialversicherung</w:t>
      </w:r>
    </w:p>
    <w:p>
      <w:r>
        <w:t>5.Â 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