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AB.2025.00058 vom 12. August 2025</w:t>
      </w:r>
    </w:p>
    <w:p>
      <w:r>
        <w:t>ZH Sozialversicherungsgericht, 2025-08-12, DE</w:t>
      </w:r>
    </w:p>
    <w:p>
      <w:r>
        <w:rPr>
          <w:b/>
        </w:rPr>
        <w:t xml:space="preserve">Quelle: </w:t>
      </w:r>
      <w:r>
        <w:t>https://mcp.opencaselaw.ch/entscheid/zh_sozialversicherungsgericht_AB.2025.00058</w:t>
      </w:r>
    </w:p>
    <w:p>
      <w:r>
        <w:t>FR: ZH_SOZIALVERSICHERUNGSGERICHT AB.2025.00058 du 12 août 2025</w:t>
      </w:r>
    </w:p>
    <w:p>
      <w:r>
        <w:t>IT: ZH_SOZIALVERSICHERUNGSGERICHT AB.2025.00058 del 12 agosto 2025</w:t>
      </w:r>
    </w:p>
    <w:p>
      <w:pPr>
        <w:pStyle w:val="Heading2"/>
      </w:pPr>
      <w:r>
        <w:t>Erwägungen</w:t>
      </w:r>
    </w:p>
    <w:p>
      <w:r>
        <w:rPr>
          <w:b/>
        </w:rPr>
        <w:t>E. 1.1</w:t>
      </w:r>
    </w:p>
    <w:p>
      <w:r>
        <w:t>X.___ , geboren 1959, bezog</w:t>
      </w:r>
    </w:p>
    <w:p>
      <w:r>
        <w:t>seit</w:t>
      </w:r>
    </w:p>
    <w:p>
      <w:r>
        <w:t>1. April 2023 eine (um ein Jahr vorbezogene) Alter s rente (Urk. 6/140 im Verfahren AB.2025.00026) . Aufgrund der Abschreibung von Beiträgen</w:t>
      </w:r>
    </w:p>
    <w:p>
      <w:r>
        <w:t>betreffend das</w:t>
      </w:r>
    </w:p>
    <w:p>
      <w:r>
        <w:t>Beitragsj ahr 2017 und damit einhergehender Veränderung der Berechnungsgrundlagen</w:t>
      </w:r>
    </w:p>
    <w:p>
      <w:r>
        <w:t>setzte die Sozial ver sicherungsanstalt des Kantons Zürich, Ausgleichskasse , die Altersr ente von</w:t>
      </w:r>
    </w:p>
    <w:p>
      <w:r>
        <w:t>X.___ mit Verfügungen vom 18. November 2024 neu fest und forderte von X.___</w:t>
      </w:r>
    </w:p>
    <w:p>
      <w:r>
        <w:t>zuviel ausgerichtete Rentenbetreffnisse in Höhe von Fr. 432. -- (betreffend Zeitraum 1. April 2023 bis 3 1. März 2024) und Fr. 288. -- (betreffend Zeitraum 1. April 2024 bis 3 0. November 2024) zurück (Urk.</w:t>
      </w:r>
    </w:p>
    <w:p>
      <w:r>
        <w:t>6/2 09 -2 10 im Verfahren AB.2</w:t>
      </w:r>
    </w:p>
    <w:p>
      <w:r>
        <w:rPr>
          <w:b/>
        </w:rPr>
        <w:t>E. 1.2</w:t>
      </w:r>
    </w:p>
    <w:p>
      <w:r>
        <w:t>und 9C_466/2014 vom 2. Juli 2015 E. 4.3). In jedem Fall kann d ie Ausgleichskasse die Erlassfrage</w:t>
      </w:r>
    </w:p>
    <w:p>
      <w:r>
        <w:t>erst prüfen, wenn die Rechtsbe ständigkeit der Rückerstattungsforderung feststeht (vgl. Urteil des Bundesgerichts 9C_466/2014 vom 2. Juli 2015 E.</w:t>
      </w:r>
    </w:p>
    <w:p>
      <w:r>
        <w:t>3.1 mit Hinweis; vgl. auch Reichmuth in: Kieser/ Kradolfer / Lendfers [Hrsg.], ATSG-Kommentar, 5.</w:t>
      </w:r>
    </w:p>
    <w:p>
      <w:r>
        <w:t>Auflage, Art. 25 Rz</w:t>
      </w:r>
    </w:p>
    <w:p>
      <w:r>
        <w:rPr>
          <w:b/>
        </w:rPr>
        <w:t>E. 5</w:t>
      </w:r>
    </w:p>
    <w:p>
      <w:r>
        <w:t>000 26). Gegen diese Verfügungen erhob X.___</w:t>
      </w:r>
    </w:p>
    <w:p>
      <w:r>
        <w:t>am 16.</w:t>
      </w:r>
    </w:p>
    <w:p>
      <w:r>
        <w:t>Dezember 2024 Einsprache ( Urk. 6/ 220-221 im Verfahren AB.2025.00026 ), welche die Ausgleichskasse mit Einspracheentscheid vom 13.</w:t>
      </w:r>
    </w:p>
    <w:p>
      <w:r>
        <w:t>Februar 2025 abwies (Urk. 6/235 im Verfahren AB.2025.00026 ). Dagegen erhob X.___</w:t>
      </w:r>
    </w:p>
    <w:p>
      <w:r>
        <w:t>beim hiesigen Gericht am 24.</w:t>
      </w:r>
    </w:p>
    <w:p>
      <w:r>
        <w:t>März 2025 Beschwerde ( Verfahren AB.2025.00026). Dieses Verfahren ist nach wie vor pendent.</w:t>
      </w:r>
    </w:p>
    <w:p>
      <w:r>
        <w:rPr>
          <w:b/>
        </w:rPr>
        <w:t>E. 7</w:t>
      </w:r>
    </w:p>
    <w:p>
      <w:r>
        <w:t>sowie</w:t>
      </w:r>
    </w:p>
    <w:p>
      <w:r>
        <w:t>Art. 4 Abs. 4 ATSV). 4.2</w:t>
      </w:r>
    </w:p>
    <w:p>
      <w:r>
        <w:t>Wie die Beschwerdegegnerin vernehmlassungsweise</w:t>
      </w:r>
    </w:p>
    <w:p>
      <w:r>
        <w:t>einräumt , betrifft das dem vorliegenden Prozess zugrunde liegende Erlassgesuch eine Rückforderung , deren Rechtmässigkeit zwischen den Parteien noch strittig und bezüglich derer ein Beschwerdeverfahren am hiesigen Gericht hängig ist (Verfahren AB.2025.00026) . Mit Blick auf die zitierte Rechtsprechung und Lehre erfolgte die Beurteilung der Erlassfrage durch die Beschwerdeführerin mithin verfrüht, was nach der Recht sprechung des Bundesgerichts zur Aufhebung des angefochtenen E insprache e ntscheids führt (vgl. dazu etwa Urteil des Bundesgerichts 9C_466/2014 vom 2.</w:t>
      </w:r>
    </w:p>
    <w:p>
      <w:r>
        <w:t>Juli 2015 E.</w:t>
      </w:r>
    </w:p>
    <w:p>
      <w:r>
        <w:t>4.3). Dem Antrag der Beschwerdegegnerin auf Sistierung des Verfahren s kann somit nicht stattgegeben werden. E rst wenn Bestand und gegebenenfalls auch Höhe der Rückforderung rechtskräftig feststehen und ( damit ) auch der für die Beurteilung der grossen Härte massgebende Zeitpunkt ,</w:t>
      </w:r>
    </w:p>
    <w:p>
      <w:r>
        <w:t>können die vollständigen Grundlagen grundsätzlich</w:t>
      </w:r>
    </w:p>
    <w:p>
      <w:r>
        <w:t>überhaupt erst vor liegen , gestützt auf welche über die Erlassvoraussetzungen entschieden werden kann (vgl. Art. 4 Abs. 2 und 4 ATS V ).</w:t>
      </w:r>
    </w:p>
    <w:p>
      <w:r>
        <w:t>4.3</w:t>
      </w:r>
    </w:p>
    <w:p>
      <w:r>
        <w:t>Der angefochtene Einspracheentscheid</w:t>
      </w:r>
    </w:p>
    <w:p>
      <w:r>
        <w:t>vom 26.</w:t>
      </w:r>
    </w:p>
    <w:p>
      <w:r>
        <w:t>Mai 2025 ist daher in Gutheis sung der Beschwerde aufzuheben und die Sache an die Beschwerdegegnerin zurückzuweisen, damit sie, nach Eintritt der Rechtskraft der im Verfahren AB.2025.00026 strittigen Rückerstattungsverfügungen vom 18.</w:t>
      </w:r>
    </w:p>
    <w:p>
      <w:r>
        <w:t>November 2024, über das Erlassgesuch des Beschwerdeführers neu verfüge. 4.4</w:t>
      </w:r>
    </w:p>
    <w:p>
      <w:r>
        <w:t>Bei diesem Verfahrensausgang kann es mit der</w:t>
      </w:r>
    </w:p>
    <w:p>
      <w:r>
        <w:t>Zustellung</w:t>
      </w:r>
    </w:p>
    <w:p>
      <w:r>
        <w:t>der</w:t>
      </w:r>
    </w:p>
    <w:p>
      <w:r>
        <w:t>Vernehm lassung</w:t>
      </w:r>
    </w:p>
    <w:p>
      <w:r>
        <w:t>vom 4. August 2025 an den Beschwerdeführer zusammen mit dem</w:t>
      </w:r>
    </w:p>
    <w:p>
      <w:r>
        <w:t>vorliegenden Urteil</w:t>
      </w:r>
    </w:p>
    <w:p>
      <w:r>
        <w:t>sein</w:t>
      </w:r>
    </w:p>
    <w:p>
      <w:r>
        <w:t>Bewenden</w:t>
      </w:r>
    </w:p>
    <w:p>
      <w:r>
        <w:t>haben. Der Einzelrichter verfügt:</w:t>
      </w:r>
    </w:p>
    <w:p>
      <w:r>
        <w:t>Das Gesuch um Sistierung des Verfahrens wird abgewiesen. u nd erkennt sodann: 1.</w:t>
      </w:r>
    </w:p>
    <w:p>
      <w:r>
        <w:t>In Gutheissung der Beschwerde wird der Einspracheentscheid vom 2 6. Mai 2025 aufgehoben. Die Sache wird an die Sozialversicherungsanstalt des Kantons Zürich, Ausgleichskasse, zurückgewiesen, damit diese im Sinne der Erwägungen verfahre .</w:t>
      </w:r>
    </w:p>
    <w:p>
      <w:r>
        <w:t>2.</w:t>
      </w:r>
    </w:p>
    <w:p>
      <w:r>
        <w:t>Das Verfahren ist kostenlos. 3.</w:t>
      </w:r>
    </w:p>
    <w:p>
      <w:r>
        <w:t>Zustellung gegen Empfangsschein an: - X.___ , unter Beilage einer Kopie von Urk. 5 -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