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AB.2024.00061 vom 19. September 2024</w:t>
      </w:r>
    </w:p>
    <w:p>
      <w:r>
        <w:t>ZH Sozialversicherungsgericht, 2024-09-19, DE</w:t>
      </w:r>
    </w:p>
    <w:p>
      <w:r>
        <w:rPr>
          <w:b/>
        </w:rPr>
        <w:t xml:space="preserve">Quelle: </w:t>
      </w:r>
      <w:r>
        <w:t>https://mcp.opencaselaw.ch/entscheid/zh_sozialversicherungsgericht_AB.2024.00061</w:t>
      </w:r>
    </w:p>
    <w:p>
      <w:r>
        <w:t>FR: ZH_SOZIALVERSICHERUNGSGERICHT AB.2024.00061 du 19 septembre 2024</w:t>
      </w:r>
    </w:p>
    <w:p>
      <w:r>
        <w:t>IT: ZH_SOZIALVERSICHERUNGSGERICHT AB.2024.00061 del 19 settembre 2024</w:t>
      </w:r>
    </w:p>
    <w:p>
      <w:pPr>
        <w:pStyle w:val="Heading2"/>
      </w:pPr>
      <w:r>
        <w:t>Erwägungen</w:t>
      </w:r>
    </w:p>
    <w:p>
      <w:r>
        <w:rPr>
          <w:b/>
        </w:rPr>
        <w:t>E. 1</w:t>
      </w:r>
    </w:p>
    <w:p>
      <w:r>
        <w:t>Da der Streitwert Fr. 30’000.-- nicht übersteigt, fällt die Beurteilung der Beschwerde in die einzelrichterliche Zuständigkeit (§ 11 Abs. 1 des Gesetzes über das Sozialversicherungsgericht , GSVGer ).</w:t>
      </w:r>
    </w:p>
    <w:p>
      <w:r>
        <w:rPr>
          <w:b/>
        </w:rPr>
        <w:t>E. 2</w:t>
      </w:r>
    </w:p>
    <w:p>
      <w:r>
        <w:t>GSVGer ).</w:t>
      </w:r>
    </w:p>
    <w:p>
      <w:r>
        <w:rPr>
          <w:b/>
        </w:rPr>
        <w:t>E. 3</w:t>
      </w:r>
    </w:p>
    <w:p>
      <w:r>
        <w:t>Zustellung gegen Empfangsschein an: - X.___ GmbH - Sozialversicherungsanstalt des Kantons Zürich, Ausgleichskasse , unter Beilage je eines Doppels von Urk. 1, Urk. 2 und Urk. 3/1-5 - Bundesamt für Sozialversicherungen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Arnold GramignaStadler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