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AB.2024.00023 vom 2. Dezember 2025</w:t>
      </w:r>
    </w:p>
    <w:p>
      <w:r>
        <w:t>ZH Sozialversicherungsgericht, 2025-12-02, DE</w:t>
      </w:r>
    </w:p>
    <w:p>
      <w:r>
        <w:rPr>
          <w:b/>
        </w:rPr>
        <w:t xml:space="preserve">Quelle: </w:t>
      </w:r>
      <w:r>
        <w:t>https://mcp.opencaselaw.ch/entscheid/zh_sozialversicherungsgericht_AB.2024.00023</w:t>
      </w:r>
    </w:p>
    <w:p>
      <w:r>
        <w:t>FR: ZH_SOZIALVERSICHERUNGSGERICHT AB.2024.00023 du 2 décembre 2025</w:t>
      </w:r>
    </w:p>
    <w:p>
      <w:r>
        <w:t>IT: ZH_SOZIALVERSICHERUNGSGERICHT AB.2024.00023 del 2 dicembre 2025</w:t>
      </w:r>
    </w:p>
    <w:p>
      <w:pPr>
        <w:pStyle w:val="Heading2"/>
      </w:pPr>
      <w:r>
        <w:t>Erwägungen</w:t>
      </w:r>
    </w:p>
    <w:p>
      <w:r>
        <w:rPr>
          <w:b/>
        </w:rPr>
        <w:t>E. 1</w:t>
      </w:r>
    </w:p>
    <w:p>
      <w:r>
        <w:t>AHVG anwendbaren Art. 61 lit . g ATSG ist der Anspruch auf Parteientschädigung auf die Beschwerde führende Partei be schränkt. Damit wird klargestellt, dass der Beschwerdegegnerin – das heisst dem Versicherungsträger – keinesfalls ein Parteientschädigungsanspruch zusteht ( Lendfers in: Kommentar ATSG, 5. Auflage, Zürich/Genf 202</w:t>
      </w:r>
    </w:p>
    <w:p>
      <w:r>
        <w:rPr>
          <w:b/>
        </w:rPr>
        <w:t>E. 4</w:t>
      </w:r>
    </w:p>
    <w:p>
      <w:r>
        <w:t>, N 209 zu Art. 61). Ein Anspruch der Beschwerdegegnerin auf eine Parteientschädigung infolge teil weisen Obsiegens ist demnach zu verneinen (vgl. Urk.</w:t>
      </w:r>
    </w:p>
    <w:p>
      <w:r>
        <w:rPr>
          <w:b/>
        </w:rPr>
        <w:t>E. 8</w:t>
      </w:r>
    </w:p>
    <w:p>
      <w:r>
        <w:t>S. 5 ). Das Gericht erkennt: 1.</w:t>
      </w:r>
    </w:p>
    <w:p>
      <w:r>
        <w:t>In teilweiser Gutheissung der Beschwerde wird der angefochtene Einspracheentscheid der GastroSocial Ausgleichskasse vom 9. Februar 2024</w:t>
      </w:r>
    </w:p>
    <w:p>
      <w:r>
        <w:t>insoweit abgeändert als fest gestellt wird, dass die Beschwerdeführerin verpflichtet wird, die mit Nachtrags verfügung vom 13. November 2023 festgesetzten AHV/IV/EO/ALV- und FAK-Beiträge ein schliess lich Verwaltungs kosten im Umfang von total Fr. 158'509.45 sowie die darauf entfallenden Verzugszinsen</w:t>
      </w:r>
    </w:p>
    <w:p>
      <w:r>
        <w:t>zu bezahlen.</w:t>
      </w:r>
    </w:p>
    <w:p>
      <w:r>
        <w:t>2.</w:t>
      </w:r>
    </w:p>
    <w:p>
      <w:r>
        <w:t>Das Verfahren ist kostenlos. 3.</w:t>
      </w:r>
    </w:p>
    <w:p>
      <w:r>
        <w:t>Es werden keine Parteientschädigungen zugesprochen . 4.</w:t>
      </w:r>
    </w:p>
    <w:p>
      <w:r>
        <w:t>Zustellung gegen Empfangsschein an: - Rechtsanwalt Oliver Bermejo - GastroSocial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w:t>
      </w:r>
    </w:p>
    <w:p>
      <w:r>
        <w:t>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