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AB.2023.00021 vom 29. Juni 2023</w:t>
      </w:r>
    </w:p>
    <w:p>
      <w:r>
        <w:t>ZH Sozialversicherungsgericht, 2023-06-29, DE</w:t>
      </w:r>
    </w:p>
    <w:p>
      <w:r>
        <w:rPr>
          <w:b/>
        </w:rPr>
        <w:t xml:space="preserve">Quelle: </w:t>
      </w:r>
      <w:r>
        <w:t>https://mcp.opencaselaw.ch/entscheid/zh_sozialversicherungsgericht_AB.2023.00021</w:t>
      </w:r>
    </w:p>
    <w:p>
      <w:r>
        <w:t>FR: ZH_SOZIALVERSICHERUNGSGERICHT AB.2023.00021 du 29 juin 2023</w:t>
      </w:r>
    </w:p>
    <w:p>
      <w:r>
        <w:t>IT: ZH_SOZIALVERSICHERUNGSGERICHT AB.2023.00021 del 29 giugno 2023</w:t>
      </w:r>
    </w:p>
    <w:p>
      <w:pPr>
        <w:pStyle w:val="Heading2"/>
      </w:pPr>
      <w:r>
        <w:t>Erwägungen</w:t>
      </w:r>
    </w:p>
    <w:p>
      <w:r>
        <w:rPr>
          <w:b/>
        </w:rPr>
        <w:t>E. 1</w:t>
      </w:r>
    </w:p>
    <w:p>
      <w:r>
        <w:t>Am 1. April 2022 meldete Y.___ , Vertretungsbeiständin mit Vermö gens verwaltung</w:t>
      </w:r>
    </w:p>
    <w:p>
      <w:r>
        <w:t>von Z.___</w:t>
      </w:r>
    </w:p>
    <w:p>
      <w:r>
        <w:t>(Urk. 7/1/5-6) , diesen</w:t>
      </w:r>
    </w:p>
    <w:p>
      <w:r>
        <w:t>bei der Sozial versicherungsanstalt des Kantons Zürich, Ausgleichskasse, rückwirkend ab Januar 2021 als Selbständigerwerbende n im Bereich «mechanische Bearbeitung von Teilen» an (Urk. 7/1).</w:t>
      </w:r>
    </w:p>
    <w:p>
      <w:r>
        <w:t>Da die entsprechende Branche der Suva unterstellt ist, leitete die Ausgleichskasse der Suva die Anmeldung zur Feststellung des Beitragsstatus</w:t>
      </w:r>
    </w:p>
    <w:p>
      <w:r>
        <w:t>weiter und informierte gleichzeitig Z.___ darüber (Urk. 7/3-</w:t>
      </w:r>
    </w:p>
    <w:p>
      <w:r>
        <w:rPr>
          <w:b/>
        </w:rPr>
        <w:t>E. 1.1</w:t>
      </w:r>
    </w:p>
    <w:p>
      <w:r>
        <w:t>Die Bestimmungen des Bundesgesetzes über den Allgemeinen Teil des Sozial versicherungsrechts (ATSG) sind auf die im ersten Teil des Bundesgesetzes über die Alters- und Hinterlassenenversicherung (AHVG) geregelte Alters- und Hinterlassenenversicherung anwendbar, soweit das AHVG nicht ausdrücklich eine Abweichung vom ATSG vorsieht (Art. 1 Abs. 1 AHVG).</w:t>
      </w:r>
    </w:p>
    <w:p>
      <w:r>
        <w:rPr>
          <w:b/>
        </w:rPr>
        <w:t>E. 1.2.1</w:t>
      </w:r>
    </w:p>
    <w:p>
      <w:r>
        <w:t>Über Leistungen, Forderungen und Anordnungen, die erheblich sind oder mit denen die betroffene Person nicht einverstanden ist, hat der Versicherungsträger schriftlich Verfügungen zu erlassen (Art. 49 Abs. 1 ATSG).</w:t>
      </w:r>
    </w:p>
    <w:p>
      <w:r>
        <w:rPr>
          <w:b/>
        </w:rPr>
        <w:t>E. 1.2.2</w:t>
      </w:r>
    </w:p>
    <w:p>
      <w:r>
        <w:t>Gegen Verfügungen (Art. 49 ATSG) kann innerhalb von 30 Tagen bei der verfügenden Stelle Einsprache erhoben werden; davon ausgenommen sind prozess- und verfahrensleitende Verfügungen (Art. 52 Abs. 1 ATSG).</w:t>
      </w:r>
    </w:p>
    <w:p>
      <w:r>
        <w:rPr>
          <w:b/>
        </w:rPr>
        <w:t>E. 1.2.3</w:t>
      </w:r>
    </w:p>
    <w:p>
      <w:r>
        <w:t>Die Einspracheentscheide sind innert angemessener Frist zu erlassen. Sie werden begründet und mit einer Rechtsmittelbelehrung versehen (Art. 52 Abs. 2 ATSG) .</w:t>
      </w:r>
    </w:p>
    <w:p>
      <w:r>
        <w:rPr>
          <w:b/>
        </w:rPr>
        <w:t>E. 1.3</w:t>
      </w:r>
    </w:p>
    <w:p>
      <w:r>
        <w:t>Erlässt eine Ausgleichskasse im Gebiet der paritätischen Beiträge eine Verfügung, so stellt sie eine Beitragsschuld sowohl des Arbeitgebers wie des Arbeitnehmers fest (Art. 4 und 5 sowie Art. 12 und 13 AHVG). Arbeitgeber und Arbeitnehmer sind in gleicher Weise betroffen, weshalb die Verfügung im Hinblick auf die Wahrung des rechtlichen Gehörs grundsätzlich beiden zu eröffnen ist. Aus nahmen von diesem Grundsatz sind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(BGE 113 V 1 E. 2 mit Hinweisen).</w:t>
      </w:r>
    </w:p>
    <w:p>
      <w:r>
        <w:t>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 rechte wahrt (BGE 113 V 1 E. 4a; Pra 1998 Nr. 26 S. 171 E. 3a; Urteile des Bundesgerichts H 269/02 vom 16. Juli 2003, H 50/02 vom 4. Juni 2002, H 299/01 vom 27. Dezember 2001). 2.</w:t>
      </w:r>
    </w:p>
    <w:p>
      <w:r>
        <w:t>2.1</w:t>
      </w:r>
    </w:p>
    <w:p>
      <w:r>
        <w:t>Mit Schreiben vom 14. Oktober 2022 teilte</w:t>
      </w:r>
    </w:p>
    <w:p>
      <w:r>
        <w:t>die Beschwerdegegnerin</w:t>
      </w:r>
    </w:p>
    <w:p>
      <w:r>
        <w:t>dem Beschwerdeführer mit , dass die Tätigkeit von</w:t>
      </w:r>
    </w:p>
    <w:p>
      <w:r>
        <w:t>Z.___ als unselbständig e Tätigkeit qualifiziert worden sei, weshalb er auf dem ausbezahlte n Honorar die AHV/IV/ALV/EO-Beiträge abrechnen müsse . Gleichzeitig forderte die Beschwer degegnerin</w:t>
      </w:r>
    </w:p>
    <w:p>
      <w:r>
        <w:t>ihn</w:t>
      </w:r>
    </w:p>
    <w:p>
      <w:r>
        <w:t>mittels beigelegten Formulars «Nachtragsmeldung 2021»</w:t>
      </w:r>
    </w:p>
    <w:p>
      <w:r>
        <w:t>auf, die Lohnsumme nachzumelden (Urk. 7/13). Mit Schreiben vom 23. Oktober 2022 führte der Beschwerdeführer aus, weshalb Z.___ als selbständig erwerbend zu qualifizieren sei, und</w:t>
      </w:r>
    </w:p>
    <w:p>
      <w:r>
        <w:t>verlangte bei Festhalten am festgelegten Beitragsstatut als Unselbständigerwerbender</w:t>
      </w:r>
    </w:p>
    <w:p>
      <w:r>
        <w:t>um Erlass einer anfechtbaren Verfügung (Urk. 7 /14). Mit Schreiben vom 28. Februar 2023 wurde der Beschwerdeführer jedoch lediglich an die Nachtragsmeldung der Lohnsumme für das Jahr 2021 erinnert (Urk. 7 /17) . Daraufhin erhob der Beschwerdeführer mit Schreiben vom 15. März 2023 gegen die Aufforderung zur Lohnsummen nachmeldung für das Jahr 2021 vom 14. Oktober 2022 und das Erinnerung s schreiben vom 28. Februar 2023 Einsprache</w:t>
      </w:r>
    </w:p>
    <w:p>
      <w:r>
        <w:t>(Urk. 8/78 ). Schliesslich erliess die Ausgleichskasse direkt den Einspracheentscheid vom 17. März 2023 (Urk. 2) . 2.2</w:t>
      </w:r>
    </w:p>
    <w:p>
      <w:r>
        <w:t>Wie von Art. 49 Abs. 1 ATSG vorgesehen und insbesondere vom Beschwerde führer verlangt wurde , muss die Beschwerdegegnerin bezüglich des Beitragsstatus von Z.___ eine Verfügung erlassen, sei es als negative Anschluss verfügung gegenüber Z.___ , sei es als Verfügung betreffend Lohnbeiträge gegenüber dem Beschwerdeführer, welche jeweils beiden, mut masslichem Arbeitnehmer wie Arbeitgeber, zu eröffnen ist . Aufgrund der Akten steht jedoch unbestrittenermassen fest, dass weder dem Beschwerdeführer noch</w:t>
      </w:r>
    </w:p>
    <w:p>
      <w:r>
        <w:t>Z.___</w:t>
      </w:r>
    </w:p>
    <w:p>
      <w:r>
        <w:t>eine Verfügung eröffnet wurde. 2.3</w:t>
      </w:r>
    </w:p>
    <w:p>
      <w:r>
        <w:t>Deswegen durfte die Beschwerdegegnerin nicht direkt ein en</w:t>
      </w:r>
    </w:p>
    <w:p>
      <w:r>
        <w:t>Einspracheentscheid erlassen.</w:t>
      </w:r>
    </w:p>
    <w:p>
      <w:r>
        <w:t>Dieser kann er st folgend auf eine allfällige Einsprache gegen eine</w:t>
      </w:r>
    </w:p>
    <w:p>
      <w:r>
        <w:t>Verfügung erlassen werden. 3.</w:t>
      </w:r>
    </w:p>
    <w:p>
      <w:r>
        <w:t>Die Beschwerde ist daher in dem Sinne gutzuheissen, dass der angefochtene Entscheid vom 17. März 2023 (Urk. 2) aufzuheben ist und die Sache an die Beschwerdegegnerin zurückzuweisen ist, damit sie das Verwaltungsverfahren gehörig durchführe . Das Gericht erkennt: 1.</w:t>
      </w:r>
    </w:p>
    <w:p>
      <w:r>
        <w:t>Die Beschwerde wird in dem Sinne gutgeheissen, dass der angefochtene Einsprache entscheid vom 17. März 2023 aufgehoben und die Sache zur gehörigen Durchführung des Verwaltungsverfahrens im Sinne der Erwägungen an die Sozialversicherungsanstalt des Kantons Zürich, Ausgleichskasse, zurückgewiesen wird. 2.</w:t>
      </w:r>
    </w:p>
    <w:p>
      <w:r>
        <w:t>Das Verfahren ist kostenlos. 3.</w:t>
      </w:r>
    </w:p>
    <w:p>
      <w:r>
        <w:t>Zustellung gegen Empfangsschein an: - X.___ unter Beilage einer Kopie von Urk. 5 -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HurstWantz</w:t>
      </w:r>
    </w:p>
    <w:p>
      <w:r>
        <w:rPr>
          <w:b/>
        </w:rPr>
        <w:t>E. 5</w:t>
      </w:r>
    </w:p>
    <w:p>
      <w:r>
        <w:t>. September 2022 teilte die Suva der Ausgleichs kasse mit, dass die Tätigkeit von Z.___</w:t>
      </w:r>
    </w:p>
    <w:p>
      <w:r>
        <w:t>als unselbständigerwerbend qualifiziert worden sei (Urk. 7/6-7). Mit Schreiben vom 23. September 2022 informierte sie auch</w:t>
      </w:r>
    </w:p>
    <w:p>
      <w:r>
        <w:t>Z.___</w:t>
      </w:r>
    </w:p>
    <w:p>
      <w:r>
        <w:t>darüber</w:t>
      </w:r>
    </w:p>
    <w:p>
      <w:r>
        <w:t>(Urk. 7/9).</w:t>
      </w:r>
    </w:p>
    <w:p>
      <w:r>
        <w:t>I n der Folge</w:t>
      </w:r>
    </w:p>
    <w:p>
      <w:r>
        <w:t>wies die Ausgleichskasse mit Schreiben vom 14. Oktober 2022</w:t>
      </w:r>
    </w:p>
    <w:p>
      <w:r>
        <w:t>das Begehren von Z.___</w:t>
      </w:r>
    </w:p>
    <w:p>
      <w:r>
        <w:t>um Registrierung als Selbständigerwerbender ab (Urk. 7/11). Ebenfalls mit Schreiben vom 14. Oktober 2022</w:t>
      </w:r>
    </w:p>
    <w:p>
      <w:r>
        <w:t>informierte sie den Arbeitgeber,</w:t>
      </w:r>
    </w:p>
    <w:p>
      <w:r>
        <w:t>X.___ ,</w:t>
      </w:r>
    </w:p>
    <w:p>
      <w:r>
        <w:t>über das festgestellte Beitragsstatut von Z.___ als Unselbständigerwerbender und ersuchte unter Beilage des Nachtragsformulars für das Jahr 2021 um Deklaration der Lohnsumme (Urk. 7/12 -13 ).</w:t>
      </w:r>
    </w:p>
    <w:p>
      <w:r>
        <w:t>Mit Schreiben vom 23. Oktober 2022 verlangte</w:t>
      </w:r>
    </w:p>
    <w:p>
      <w:r>
        <w:t>X.___</w:t>
      </w:r>
    </w:p>
    <w:p>
      <w:r>
        <w:t>bei Festhalten am Beitragsstatut von Z.___</w:t>
      </w:r>
    </w:p>
    <w:p>
      <w:r>
        <w:t>den Erlass einer anfechtbaren Verfügung (Urk. 7/14).</w:t>
      </w:r>
    </w:p>
    <w:p>
      <w:r>
        <w:t>Mit Schreiben vom 28. Februar 2023 wurde X.___ an die ausstehende Nachtragsmeldung der Lohnsumme für das Jahr 2021 erinnert (Urk. 7/17 ; Urk.</w:t>
      </w:r>
    </w:p>
    <w:p>
      <w:r>
        <w:rPr>
          <w:b/>
        </w:rPr>
        <w:t>E. 6</w:t>
      </w:r>
    </w:p>
    <w:p>
      <w:r>
        <w:t>/78). Am 17. März 2023 erliess die Ausgleichskasse den Einsprache entscheid</w:t>
      </w:r>
    </w:p>
    <w:p>
      <w:r>
        <w:t>(Urk. 2). 2.</w:t>
      </w:r>
    </w:p>
    <w:p>
      <w:r>
        <w:t>Dagegen erhob X.___ am 14. April 2023 Beschwerde und beantragte , es sei festzustellen, dass Z.___ bezüglich der Erledigung seiner Aufträge als selbs t ändigerwerbend</w:t>
      </w:r>
    </w:p>
    <w:p>
      <w:r>
        <w:t>zu gelten habe , eventualiter sei die Vorinstanz zu verpflichten, einen neuen Entscheid zu erlassen, der die Beweggründe für die Qualifikation von Z.___ als Unselbständigerwerbender inhaltlich klar aufzeige (Urk. 1). Am</w:t>
      </w:r>
    </w:p>
    <w:p>
      <w:r>
        <w:rPr>
          <w:b/>
        </w:rPr>
        <w:t>E. 9</w:t>
      </w:r>
    </w:p>
    <w:p>
      <w:r>
        <w:t>Mai 2023 beantragte die Beschwerdegegnerin , es sei auf die Beschwerde nicht einzutreten (Urk. 5).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