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AB.2020.00057 vom 16. August 2019</w:t>
      </w:r>
    </w:p>
    <w:p>
      <w:r>
        <w:t>ZH Sozialversicherungsgericht, 2019-08-16, DE</w:t>
      </w:r>
    </w:p>
    <w:p>
      <w:r>
        <w:rPr>
          <w:b/>
        </w:rPr>
        <w:t xml:space="preserve">Quelle: </w:t>
      </w:r>
      <w:r>
        <w:t>https://mcp.opencaselaw.ch/entscheid/zh_sozialversicherungsgericht_AB.2020.00057</w:t>
      </w:r>
    </w:p>
    <w:p>
      <w:r>
        <w:t>FR: ZH_SOZIALVERSICHERUNGSGERICHT AB.2020.00057 du 16 août 2019</w:t>
      </w:r>
    </w:p>
    <w:p>
      <w:r>
        <w:t>IT: ZH_SOZIALVERSICHERUNGSGERICHT AB.2020.00057 del 16 agosto 2019</w:t>
      </w:r>
    </w:p>
    <w:p>
      <w:pPr>
        <w:pStyle w:val="Heading2"/>
      </w:pPr>
      <w:r>
        <w:t>Erwägungen</w:t>
      </w:r>
    </w:p>
    <w:p>
      <w:r>
        <w:rPr>
          <w:b/>
        </w:rPr>
        <w:t>E. 1</w:t>
      </w:r>
    </w:p>
    <w:p>
      <w:r>
        <w:t>Mit Verfügung vom 16. August 2019 (Urk. 3/22) stellte die Sozialversicherungs anstalt des Kantons Zürich, Ausgleichskasse , fest, dass Y.___ -, Z.___ -, A.___ - und B.___ -Fahrer eine unselbständige Erwerbstätigkeit für die C.___ ausübten (Dispositiv Ziff. 1) und dass die X.___ GmbH die abrechnungspflichtige Betriebsstätte der C.___ im Sinne von Art. 12 Abs. 2 des Bundesgesetzes über die Alters- und Hinterlassenenversicherung ( AHVG ) sei (Dispositiv Ziff. 2). Des Weiteren wurden die C.___ als Arbeitgeberin sowie die X.___ GmbH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C.___ und der X.___ GmbH erhobene Ein sprache (Urk. 3/25) hiess die Ausgleichskasse mit Entscheid vom 3. März 2020 (Urk. 3/23) teilweise gut, indem sie die von den beiden Gesellschaften geforderten Sozialversicherungsbeiträge (inklusive Nebenkosten) auf eine Summe von Fr. 4'261'460.35 reduzierte (Dispositiv Ziff. 4). Die geforderten Verzugszinsen verminderten sich auf Fr. 986'054.60 (Dispositiv Ziff. 5). Der Entzug der aufschie benden Wirkung eines allfälligen Rechtsmittels wurde auf die Feststellungen «einer unselbständigen Erwerbstätigkeit der Fahrer für C.___ » sowie «des Vorliegens einer Betriebsstätte» begrenzt (Dispositiv Ziff. 3). In Bezug auf die Feststellung der unselbständigen Erwerbstätigkeit der fraglichen Fahrer, der Arbeitgebereigenschaft der C.___ (Dispositiv Ziff. 1) und der Qualifikation der X.___ GmbH (Dispositiv Ziff. 2) und der daraus resultierenden grund sätzlichen Zahlungspflicht der beiden Gesellschaften wurde die Einsprache abge 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 scheid stärker als jedermann betroffen sei und in einer besonderen, beachtens werten, nahen Beziehung zur Streitsache stehe (BGE 133 V 188 E. 4.3.1, 239 E.</w:t>
      </w:r>
    </w:p>
    <w:p>
      <w:r>
        <w:t>6.2; 131 II 361 E. 1.2; 131 V 298 E. 3; 130 V 560 E. 3.3).</w:t>
      </w:r>
    </w:p>
    <w:p>
      <w:r>
        <w:rPr>
          <w:b/>
        </w:rPr>
        <w:t>E. 1.2</w:t>
      </w:r>
    </w:p>
    <w:p>
      <w:r>
        <w:t>Die Beschwerdegegnerin vermutete, dass das Sozialversicherungsgericht auf die vorliegende Beschwerde möglicherweise nicht eintreten werde und stellte dem zufolge einen ausdrücklichen Antrag auf Eintrete n (Urk. 7 S. 2). Angesichts des sen, dass die Beschwerdegegnerin die Beschwerdeführerin im angefochtenen Ein spra cheentscheid vom 3. März 2020 (Urk. 3/23) unter anderem zur Zahlung von Sozialversicherungsbeiträgen (inklusive Nebenkosten) von Fr. 4'261'460.35 sowie von Verzugszinsen in der Höhe von Fr. 986'054.60 verpflichtete, bedarf es jedoch keiner weiteren Ausführungen, dass die Beschwerdeführerin durch den angefoch tenen Einspracheentscheid im Sinne von Art. 59 ATSG berührt ist und ein schutz würdiges Interesse an de ssen Aufhebung oder Änderung hat. Die Legitimation der Beschwerdeführerin steht ausser Frage.</w:t>
      </w:r>
    </w:p>
    <w:p>
      <w:r>
        <w:t>Demzufolge ist auf die Beschwerde einzutreten.</w:t>
      </w:r>
    </w:p>
    <w:p>
      <w:r>
        <w:rPr>
          <w:b/>
        </w:rPr>
        <w:t>E. 2.1</w:t>
      </w:r>
    </w:p>
    <w:p>
      <w:r>
        <w:t>Die Beschwerdegegnerin entzog im angefochtenen Einspracheentscheid (Urk. 3/23; Dispositiv Ziff. 3) der Beschwerde mit Bezug auf die Feststellung einer unselbständigen Erwerbstätigkeit der Fahrer für C.___ und mit Bezug auf die Feststellung des Vorliegens einer Betriebsstätte die aufschiebende Wir kung.</w:t>
      </w:r>
    </w:p>
    <w:p>
      <w:r>
        <w:t>Die Beschwerdeführerin liess die vollumfängliche Wiederherstellung der auf schiebenden Wirkung der vorliegenden Beschwerde beantragen (Urk. 1/1 S. 2 Antrag Ziff. 2). Die Beschwerdegegnerin «verzichtete» in ihrer Beschwerdeantwort vom 24. Juli 2020 (Urk. 7; Antrag Ziff. 3) auf den Entzug der aufschiebenden Wirkung und beantragte, die Beschwerde insoweit gutzuheissen und die aufschie bende Wirkung wiederherzustellen.</w:t>
      </w:r>
    </w:p>
    <w:p>
      <w:r>
        <w:rPr>
          <w:b/>
        </w:rPr>
        <w:t>E. 2.2</w:t>
      </w:r>
    </w:p>
    <w:p>
      <w:r>
        <w:t>Angesichts der insoweit gleichlautenden Parteianträge braucht der Frage, ob in Bezug auf die im Streit stehenden Feststellungen der Entzug der aufschiebenden Wirkung eines Rechtsmittels rechtlich überhaupt möglich ist, nicht nachgegangen zu werden. Es ist vorliegend jedenfalls kein Grund ersichtlich, der für den Entzug der aufschiebenden Wirkung sprechen würde.</w:t>
      </w:r>
    </w:p>
    <w:p>
      <w:r>
        <w:t>Demzufolge ist die aufschiebende Wirkung der Beschwerde wiederherzustellen.</w:t>
      </w:r>
    </w:p>
    <w:p>
      <w:r>
        <w:rPr>
          <w:b/>
        </w:rPr>
        <w:t>E. 2.3</w:t>
      </w:r>
    </w:p>
    <w:p>
      <w:r>
        <w:t>Mit Verfügung vom 5. Juni 2020 (Urk. 5) wurde der Ausgleichskasse Frist zur Erstattung der Beschwerdeantwort angesetzt. Mit Eingabe vom 24. Juli 2020 (Urk. 7) beantragte die Ausgleichskasse, es sei auf die Beschwerde der X.___ GmbH einzutreten und es sei das vorliegende Verfahren mit diversen anderen Verfahren (AB.2020.00 54, AB.2020.00055, AB.2020.00056 , AB.2020.00058, AB.2020.00059 und AB.2020.00060) zu vereinigen. Ausserdem werde die Wiederherstellung der aufschiebenden Wirkung der Beschwerde bean tragt. Im Übrigen sei die Beschwerde abzuweisen.</w:t>
      </w:r>
    </w:p>
    <w:p>
      <w:r>
        <w:t>Auf die Ausführungen der Parteien ist, soweit für die Entscheidfindung erforder lich, in den Erwägungen einzugehen. Das Gericht zieht in Erwägung: 1.</w:t>
      </w:r>
    </w:p>
    <w:p>
      <w:r>
        <w:rPr>
          <w:b/>
        </w:rPr>
        <w:t>E. 3.1</w:t>
      </w:r>
    </w:p>
    <w:p>
      <w:r>
        <w:t>Der Erlass einer Feststellungsverfügung setzt gemäss Art. 49 Abs. 2 ATSG – ana log zu Art. 25 Abs. 2 in Verbindung mit Art. 5 Abs. 1 lit. b des Bundesgesetzes über das Verwaltungsverfahren ( VwVG )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 nis des schützenswerten Interesses auch für den Erlass von Feststellungsverfü gungen, welche ein Hoheitsträger nicht auf Ersuchen, sondern von Amtes wegen (vgl. Art. 25 Abs. 1 VwVG ) erlässt (BGE 130 V 388 E. 2.4).</w:t>
      </w:r>
    </w:p>
    <w:p>
      <w:r>
        <w:t>Feststellungsverfügungen im Sinne von Art. 5 Abs. 1 lit.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werden mit behördlichen Zusicherungen, Auskünften, Empfehlungen oder Beleh run gen keine Rechtsfolgen verbindlich festgelegt; solche Mitteilungen stellen dem nach keine Verfügungen dar und sind folgl ich nicht anfechtbar (BGE 130 V 388 E. 2.5).</w:t>
      </w:r>
    </w:p>
    <w:p>
      <w:r>
        <w:rPr>
          <w:b/>
        </w:rPr>
        <w:t>E.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 AHVG ]).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w:t>
      </w:r>
    </w:p>
    <w:p>
      <w:r>
        <w:rPr>
          <w:b/>
        </w:rPr>
        <w:t>E. 4.1</w:t>
      </w:r>
    </w:p>
    <w:p>
      <w:r>
        <w:t>Die Beschwerdegegnerin begründete ihre Forderung gegenüber der Beschwerde führerin insbesondere da mit, dass die Beschwerdeführerin als «Betriebsstätte» der C.___ zu qualifizieren sei. Im angefochtenen Einspracheentscheid stellte sich die Beschwerdegegnerin auf den Standpunkt, dass die Beschwerdeführerin für C.___ «notwendige Aufgaben» wahrnehm e, welche die C.___ von Ams terdam aus nicht erbringen könnte. Deshalb benötige die C.___ die Beschwer deführerin als Betriebsstätte in der Schweiz. Der Umstand, dass die Beschwerde führerin formal nicht der C.___ gehöre, sei irrelevant. Alles sei Teil des Konzerns (Urk. 3/23 S. 22 f.).</w:t>
      </w:r>
    </w:p>
    <w:p>
      <w:r>
        <w:t>Im Rahmen des vorliegenden Prozesses führte die Beschwerdegegnerin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 sonen zum ausländischen Inhaber der Betriebsstätte eine massgebende Bedeutung zu. Unter Betriebsstätten seien ständige Anlagen oder Einrichtungen zu verste 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Schweiz vollstreckbar (Urk. 7 S. 4).</w:t>
      </w:r>
    </w:p>
    <w:p>
      <w:r>
        <w:rPr>
          <w:b/>
        </w:rPr>
        <w:t>E. 4.2</w:t>
      </w:r>
    </w:p>
    <w:p>
      <w:r>
        <w:t>Demgegenüber liess die Beschwerdeführerin bestreiten, dass sie eine Betriebs stätte der C.___ sei. Ihr obliege das Marketing der verschiedenen Gesellschaf ten der C.___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Transportdienstleistungen. Kein Arbeitnehmer der C.___ arbeite in den Räumlichkeiten der Beschwerdeführerin oder anderswo in der Schweiz. Die Fahrer («Partnerfahrer») und die Fahrgäste, die die Applikation nutz ten, stünden in keiner vertraglichen Beziehung zur Beschwerdeführerin (Urk. 1/1 S. 9). Die Tätigkeit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C.___ und seien nicht den Weisungen von C.___ unterstellt. Die Räumlichkeiten der Beschwerdeführerin seien keine Einrichtung der C.___ Da die Beschwerdeführerin nicht die Betriebsstätte von C.___ sei, sei der ange fochtene Entscheid aufzuheben (Urk. 1/1 S. 68 f.).</w:t>
      </w:r>
    </w:p>
    <w:p>
      <w:r>
        <w:rPr>
          <w:b/>
        </w:rPr>
        <w:t>E. 4.3</w:t>
      </w:r>
    </w:p>
    <w:p>
      <w:r>
        <w:t>Strittig und zu prüfen ist, ob die Beschwerdegegnerin die Beschwerdeführerin zu Recht als Betriebsstätte der C.___ qualifiziert und in dieser Eigenschaft ver pflichtet hat, Sozialversicherungsbeiträge (inklusive Nebenkosten) für 2014 in der Höhe von Fr. 4'261'460.35 sowie Verzugszinsen in der Höhe von Fr. 986'054.60 zu bezahlen.</w:t>
      </w:r>
    </w:p>
    <w:p>
      <w:r>
        <w:rPr>
          <w:b/>
        </w:rPr>
        <w:t>E. 5.1</w:t>
      </w:r>
    </w:p>
    <w:p>
      <w:r>
        <w:t>In seinem Urteil UV.2020.00132 in Sachen X.___ GmbH c. Suva vom 8. Juli 2020 erwog das hiesige Gericht Folgendes (E. 3.3.2):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C.___ sein sollte, wird sie damit nicht zur Arbeitgeberin des Ver sicherten. Die Beschwerdeführerin hat offenkundig eigene Angestellte, welche für sie tätig sind, aber keine Fahrdienste erledigen. Die Fahrer haben lediglich einen Vertrag mit der C.___ , weshalb eine Beitrags zahlungspflicht der Beschwerdeführerin ausser Betracht fällt. Die Konzep tion der Beitragszahlungspflicht von Betriebsstätten ausländischer Gesell schaften fusst auf der Überlegung, dass Arbeitgeber von in der Schweiz tätigen Arbeitnehmern auch dann beitragspflichtig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 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C.___ , dem Betreiber der Applika tion, eingebunden noch erbringt sie Transportdienstleistungen. Sie sorgt in der Schweiz für das Marketing der verschiedenen Gesellschaften der C.___ Gruppe. Kein Arbeitnehmer der C.___ übt seine Tätigkeit in diesen Räumlichkeiten aus. Die in den Räumlichkeiten der Beschwerdeführerin ausgeübten Tätigkeiten entsprechen nicht denjenigen von C.___ , welche hauptsächlich technologi scher Natur sind und die Zurverfügungstellung der Applikationen umfassen. Bei dieser Ausgangslage ist nicht zu ersehen, inwiefern die Beschwerdeführerin als Betriebsstätte der C.___ in Bezug auf die von den Fahrern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C.___ erbrachten Dienstleistungen.</w:t>
      </w:r>
    </w:p>
    <w:p>
      <w:r>
        <w:t>D ie Gesch äftstätigkeit der C.___ wird offensichtlich nicht in den Räumlich keiten oder dergleichen der Beschwerdeführerin ausgeübt, und zwar weder ganz noch teilweise. Es sind keine Indizien ersichtlich, die für die Qualifikation der Beschwerdeführerin als Betriebsstätte der C.___ sprechen würden. Die von der Beschwerdegegnerin in ihrer Beschwerdeantwort zitierten Präjudizien (Urk. 7 S. 4)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C.___ gegenüber der Beschwerdegegnerin. Dies - bei Annahme einer unselbständigen Erwerbstä tigkeit - in Abgrenzung der persönlichen Beitragspflicht der Fahrer gemäss Art. 6 AHVG (Beiträge der Arbeitnehmer nicht beitragspflichtiger Arbeitgeber). Ange sichts des Sitzes der C.___ in einem Staat der Europäischen Union ist diese Frage indes obsolet, hat doch ein Arbeitgeber mit eingetragenem Sitz au ss erhalb des zuständigen Mitgliedstaats den Pflichten nachzukommen, die die auf seine Arbeitnehmer anzuwendenden Rechtsvorschriften vorsehen, namentlich der Pflicht zur Zahlung der nach diesen Rechtsvorschriften vorgeschriebenen Beiträge, als hätte der Arbeitgeber seinen eingetragenen Sitz oder seine Niederlas sung in dem zuständigen Mitgliedstaat. Eine Vereinbarung mit dem Arbeitneh mer, dass dieser die Pflichten des Arbeitgebers zur Zahlung der Beiträge wahr nimmt, berührt die daneben fortbestehenden Pflichten des Arbeitgebers nicht (Art. 21 der Verordnung [ EG ] Nr. 987/2009</w:t>
      </w:r>
    </w:p>
    <w:p>
      <w:r>
        <w:t>des Europäischen Parlaments und des Rates vom 1 6. September 2009 zur Festlegung der Modalitäten für die Durchfüh rung der Verordnung [EG] Nr. 883/2004 über die Koordinierung der Systeme der sozialen Sicherheit ). Allfällige vollstreckungsrech tliche Fragen sind nicht im vor liegenden Verfahren zu klären.</w:t>
      </w:r>
    </w:p>
    <w:p>
      <w:r>
        <w:rPr>
          <w:b/>
        </w:rPr>
        <w:t>E. 5.2.3</w:t>
      </w:r>
    </w:p>
    <w:p>
      <w:r>
        <w:t>Da die Beschwerdeführerin keine Betriebsstätte der C.___ ist, entfällt ohne Weiteres das Fundament der beschwerdegegnerischen Forderung gegenüber der Beschwerdeführerin, soweit ein solches überhaupt denkbar ist.</w:t>
      </w:r>
    </w:p>
    <w:p>
      <w:r>
        <w:rPr>
          <w:b/>
        </w:rPr>
        <w:t>E. 5.3</w:t>
      </w:r>
    </w:p>
    <w:p>
      <w:r>
        <w:t>Des Weiteren ist daran zu erinnern, dass die Sozialversicherungsbeiträge vom Arbeitgeber geschuldet werden (vgl. oben E. 3.2). Daran ändert auch die Bestim mung von Art. 12 Abs. 2 AHVG nichts, denn diese hält ausdrücklich die Beitrags pflicht des Arbeitgebers (und nicht der Betriebsstätte) fest. Daraus folgt, dass die Beschwerdeführerin, die eine eigenständige Gesellschaft mit beschränkter Haf tung schweizerischen Rechts ist, selbst wenn sie eine Betriebsstätte der C.___ wäre, nicht für die allenfalls von der C.___ geschuldeten Sozialversicherungs beiträge haften würde.</w:t>
      </w:r>
    </w:p>
    <w:p>
      <w:r>
        <w:t>Die Beschwerdeführerin ist eine juristische Person schweizerischen Rechts und somit - rechtlich betrachtet - vollkommen unabhängig von der C.___ , einer Gesellschaft niederländischen Rechts. Grundsätzlich haftet weder die Beschwer deführerin für die Verbindlichkeiten der C.___ noch umgekehrt. Auf theore tisch mögliche, in der Praxis sehr selten vorkommende Ausnahmefälle (genannt seien etwa der sogenannte «Durchgriff» und der sogenannte «umgekehrte Durch griff») ist an dieser Stelle nicht weiter einzugehen, weil solche Konstellationen und deren Voraussetzungen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beitragspflichtig ist.</w:t>
      </w:r>
    </w:p>
    <w:p>
      <w:r>
        <w:rPr>
          <w:b/>
        </w:rPr>
        <w:t>E. 6.1</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Einspracheentscheid vom 3. März 2020 entzogene aufschiebende Wirkung der vorliegenden Beschwerde wird wiederhergestellt. Das Gericht erkennt: 1.</w:t>
      </w:r>
    </w:p>
    <w:p>
      <w:r>
        <w:t>Die Beschwerde der X.___ GmbH wird in dem Sinn gutgeheissen, dass der Einspracheentscheid vom 3. März 2020 , soweit er die X.___ GmbH betrifft, aufgehoben wird mit der Feststellung, dass sie nicht beitragspflichtig ist. 2.</w:t>
      </w:r>
    </w:p>
    <w:p>
      <w:r>
        <w:t>Das Verfahren ist kostenlos. 3.</w:t>
      </w:r>
    </w:p>
    <w:p>
      <w:r>
        <w:t>Die Beschwerdegegnerin wird verpflichtet, der Beschwerdeführerin eine Prozessent schädigung von Fr. 1’200 .-- (inklusive Barauslagen und Mehrwertsteuer ) zu bezahlen. 4.</w:t>
      </w:r>
    </w:p>
    <w:p>
      <w:r>
        <w:t>Zustellung gegen Empfangsschein an: - Rechtsanwalt Rayan</w:t>
      </w:r>
    </w:p>
    <w:p>
      <w:r>
        <w:t>Houdrouge unter Beilage des Doppels von Urk. 7 -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