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AB.2020.00055 vom 16. September 2020</w:t>
      </w:r>
    </w:p>
    <w:p>
      <w:r>
        <w:t>ZH Sozialversicherungsgericht, 2020-09-16, DE</w:t>
      </w:r>
    </w:p>
    <w:p>
      <w:r>
        <w:rPr>
          <w:b/>
        </w:rPr>
        <w:t xml:space="preserve">Quelle: </w:t>
      </w:r>
      <w:r>
        <w:t>https://mcp.opencaselaw.ch/entscheid/zh_sozialversicherungsgericht_AB.2020.00055</w:t>
      </w:r>
    </w:p>
    <w:p>
      <w:r>
        <w:t>FR: ZH_SOZIALVERSICHERUNGSGERICHT AB.2020.00055 du 16 septembre 2020</w:t>
      </w:r>
    </w:p>
    <w:p>
      <w:r>
        <w:t>IT: ZH_SOZIALVERSICHERUNGSGERICHT AB.2020.00055 del 16 settembre 2020</w:t>
      </w:r>
    </w:p>
    <w:p>
      <w:pPr>
        <w:pStyle w:val="Heading2"/>
      </w:pPr>
      <w:r>
        <w:t>Erwägungen</w:t>
      </w:r>
    </w:p>
    <w:p>
      <w:r>
        <w:rPr>
          <w:b/>
        </w:rPr>
        <w:t>E. 1</w:t>
      </w:r>
    </w:p>
    <w:p>
      <w:r>
        <w:t>Mit Verfügung vom 16. August 2019 (Urk. 3/22) stellte die Sozialversicherungs anstalt des Kantons Zürich, Ausgleichskasse , fest, dass Y.___ -, Z.___ -, A.___ - und B.___ -Fahrer eine unselbständige Erwerbstätigkeit für die C.___ ausübten (Dispositiv Ziff. 1) und dass die X.___ GmbH die abrechnungspflichtige Betriebsstätte der C.___ im Sinne von Art. 12 Abs. 2 des Bundesgesetzes über die Alters- und Hinterlassenenversicherung (AHVG) sei (Dispositiv Ziff. 2). Des Weiteren wurden die C.___ als Arbeitgeberin sowie die X.___ GmbH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GmbH erhobene Ein sprache (Urk. 3/25 ) hiess die Ausgleichskasse mit Entscheid vom 3. März 2020 (Urk. 3/23) teilweise gut, indem sie die von den beiden Gesellschaften geforderten Sozialversicherungsbeiträge (inklusive Nebenkosten) auf eine Summe von Fr. 4'261'460.35 reduzierte (Dispositiv Ziff. 4). Die geforderten Verzugszinsen verminderten sich auf Fr. 986'054.60 (Dispositiv Ziff. 5). Der Entzug der aufschie benden Wirkung eines allfälligen Rechtsmittels wurde auf die Feststellungen «einer unselbständigen Erwerbstätigkeit der Uber-Fahrer für C.___ » sowie «des Vorliegens einer Betriebsstätte» begrenzt (Dispositiv Ziff. 3). In Bezug auf die Feststellung der unselbständigen Erwerbstätigkeit der fraglichen Fahrer, der Arbeitgebereigenschaft der C.___ (Dispositiv Ziff. 1) und der Qualifikation der X.___ GmbH (Dispositiv Ziff. 2) und der daraus resultierenden grund sätzlichen Zahlungspflicht der beiden Gesellschaften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 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 n (Urk. 7 S. 2). Angesichts des sen, dass die Beschwerdegegnerin die Beschwerdeführerin im angefochtenen Ein spracheentscheid vom 3. März 2020 (Urk. 3/23) unter anderem zur Zahlung von Sozialversicherungsbeiträgen (inklusive Nebenkosten) von Fr. 4'261'460.35 sowie von Verzugszinsen in der Höhe von Fr. 986'054.60 verpflichtete, bedarf es jedoch keiner weiteren Ausführungen, dass die Beschwerdeführerin durch den angefoch tenen Einspracheentscheid im Sinne von Art. 59 ATSG berührt ist und ein schutz würdiges Interesse an de ssen Aufhebung oder Änderung hat. Die Legitimation der Beschwerdeführerin steht ausser Frage.</w:t>
      </w:r>
    </w:p>
    <w:p>
      <w:r>
        <w:t>Demzufolge ist auf die Beschwerde einzutreten. 2.</w:t>
      </w:r>
    </w:p>
    <w:p>
      <w:r>
        <w:rPr>
          <w:b/>
        </w:rPr>
        <w:t>E. 2.1</w:t>
      </w:r>
    </w:p>
    <w:p>
      <w:r>
        <w:t>Die Beschwerdegegnerin entzog im angefochtenen Einspracheentscheid (Urk. 3/23; Dispositiv Ziff. 3) der Beschwerde mit Bezug auf die Feststellung einer unselbständigen Erwerbstätigkeit der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 3. 3.1</w:t>
      </w:r>
    </w:p>
    <w:p>
      <w:r>
        <w:t>Der Erlass einer Feststellungsverfügung setzt gemäss Art. 49 Abs. 2 ATSG – ana log zu Art. 25 Abs. 2 in Verbindung mit Art. 5 Abs. 1 lit. b des Bundesgesetzes über das Verwaltungsverfahren (VwVG)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Erfordernis des schützenswerten Interesses auch für den Erlass von Feststellungsverfügungen, welche ein Hoheitsträger nicht auf Ersuchen, sondern von Amtes wegen (vgl. Art. 25 Abs. 1 VwVG) erlässt (BGE 130 V 388 E. 2.4).</w:t>
      </w:r>
    </w:p>
    <w:p>
      <w:r>
        <w:t>Feststellungsverfügungen im Sinne von Art. 5 Abs. 1 lit.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werden mit behördlichen Zusicherungen, Auskünften, Empfehlungen oder Belehrun gen keine Rechtsfolgen verbindlich festgelegt; solche Mitteilungen stellen dem nach keine Verfügungen dar und sind folglich nicht anfechtbar (BGE 130 V 388 E. 2.5).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 4. 4.1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 e, welche die C.___ von Ams terdam aus nicht erbringen könnte. Deshalb benötige die C.___ die Beschwer deführerin als Betriebsstätte in der Schweiz. Der Umstand, dass die Beschwerde führerin formal nicht der C.___ gehöre, sei irrelevant. Alles sei Teil des Konzerns (Urk. 3/23 S. 22 f.).</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 4.2</w:t>
      </w:r>
    </w:p>
    <w:p>
      <w:r>
        <w:t>Demgegenüber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2.3</w:t>
      </w:r>
    </w:p>
    <w:p>
      <w:r>
        <w:t>Mit Verfügung vom 5. Juni 2020 (Urk. 5) wurde der Ausgleichskasse Frist zur Erstattung der Beschwerdeantwort angesetzt. Mit Eingabe vom 24. Juli 2020 (Urk. 7) beantragte die Ausgleichskasse, es sei auf die Beschwerde der X.___ GmbH einzutreten und es sei das vorliegende Verfahren mit diversen anderen Verfahren (AB.2020.0054 , AB.2020.00056 , AB.2020.00057, AB.2020.00058, AB.2020.00059 und AB.2020.00060)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5</w:t>
      </w:r>
    </w:p>
    <w:p>
      <w:r>
        <w:t>. Die Beschwerde der C.___ wurde als Prozess Nummer AB.2020.00039 angelegt.</w:t>
      </w:r>
    </w:p>
    <w:p>
      <w:r>
        <w:rPr>
          <w:b/>
        </w:rPr>
        <w:t>E. 5.1</w:t>
      </w:r>
    </w:p>
    <w:p>
      <w:r>
        <w:t>In seinem Urteil UV.2020.00132 in Sachen X.___ GmbH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Fah 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würden.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Beitragspflicht der Fahrer gemäss Art. 6 AHVG (Beiträge der Arbeitnehmer nicht beitragspflichtiger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Rechtsvorschriften vorsehen, namentlich der Pflicht zur Zahlung der nach diesen Rechtsvorschriften vorgeschriebenen Bei träge, als hätte der Arbeitgeber seinen eingetragenen Sitz oder seine Niederlas sung in dem zuständigen Mitgliedstaat. Eine Vereinbarung mit dem Arbeitneh mer, dass dieser die Pflichten des Arbeitgebers zur Zahlung der Beiträge wahr nimmt, berührt die daneben fortbestehenden Pflichten des Arbeitgebers nicht (Art. 21 der Verordnung [ EG ] Nr. 987/2009</w:t>
      </w:r>
    </w:p>
    <w:p>
      <w:r>
        <w:t>des Europäischen Parlaments und des Rates vom 1 6. September 2009 zur Festlegung der Modalitäten für die Durchfüh rung der Verordnung [EG] Nr. 883/2004 über die Koordinierung der Systeme der sozialen Sicherheit ). Allfällige vollstreckungsrechtliche Fragen sind nicht im vor liegenden Verfahren zu klären.</w:t>
      </w:r>
    </w:p>
    <w:p>
      <w:r>
        <w:rPr>
          <w:b/>
        </w:rPr>
        <w:t>E. 5.2.3</w:t>
      </w:r>
    </w:p>
    <w:p>
      <w:r>
        <w:t>Da die Beschwerdeführerin keine Betriebsstätte der C.___ ist, entfällt ohne Weiteres das Fundament der beschwerdegegnerischen Forderung gegenüber der Beschwerdeführerin, soweit ein solches überhaupt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 tragspflichtig ist.</w:t>
      </w:r>
    </w:p>
    <w:p>
      <w:r>
        <w:rPr>
          <w:b/>
        </w:rPr>
        <w:t>E. 6.1</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 ).</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 prache entscheid vom 3. März 2020 entzogene aufschiebende Wirkung der vorliegenden Beschwerde wird wiederhergestellt. Das Gericht erkennt: 1.</w:t>
      </w:r>
    </w:p>
    <w:p>
      <w:r>
        <w:t>Die Beschwerde der X.___ GmbH wird in dem Sinn gutgeheissen, dass der Einspracheentscheid vom 3. März 2020 , soweit er die X.___ GmbH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unter Beilage des Doppels von Urk. 7 -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