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AB.2019.00055 vom 14. August 2020</w:t>
      </w:r>
    </w:p>
    <w:p>
      <w:r>
        <w:t>ZH Sozialversicherungsgericht, 2020-08-14, DE</w:t>
      </w:r>
    </w:p>
    <w:p>
      <w:r>
        <w:rPr>
          <w:b/>
        </w:rPr>
        <w:t xml:space="preserve">Quelle: </w:t>
      </w:r>
      <w:r>
        <w:t>https://mcp.opencaselaw.ch/entscheid/zh_sozialversicherungsgericht_AB.2019.00055</w:t>
      </w:r>
    </w:p>
    <w:p>
      <w:r>
        <w:t>FR: ZH_SOZIALVERSICHERUNGSGERICHT AB.2019.00055 du 14 août 2020</w:t>
      </w:r>
    </w:p>
    <w:p>
      <w:r>
        <w:t>IT: ZH_SOZIALVERSICHERUNGSGERICHT AB.2019.00055 del 14 agosto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Nach Art. 29 Abs. 1 des Bundesgesetzes über die Alters- und Hinterlassenen versicherung ( AHVG ) haben Anspruch auf eine ordentliche Alters- und Hinter lassenenrente die rentenberechtigten Personen, denen für mindestens ein volles Jahr Einkommen, Erziehungs- oder Betreuungsgutschriften angerechnet werden können, oder ihre Hinterlassenen. 1.</w:t>
      </w:r>
    </w:p>
    <w:p>
      <w:r>
        <w:rPr>
          <w:b/>
        </w:rPr>
        <w:t>E. 1.2</w:t>
      </w:r>
    </w:p>
    <w:p>
      <w:r>
        <w:t>I m Juli 2017 reiste</w:t>
      </w:r>
    </w:p>
    <w:p>
      <w:r>
        <w:t>X.___</w:t>
      </w:r>
    </w:p>
    <w:p>
      <w:r>
        <w:t>erneut</w:t>
      </w:r>
    </w:p>
    <w:p>
      <w:r>
        <w:t>in die Schweiz ein ( Urk. 6/45) , wo er in de r Folge Sozialhilfe bezog ( vgl. etwa Urk. 6/1 und 6/2 S. 6 ). Am 7. März 2019 meldete er sich</w:t>
      </w:r>
    </w:p>
    <w:p>
      <w:r>
        <w:t>– nachdem er vorgängig eine V oraus berechnung seiner Rente verlangt hatte (Urk. 6/2) - bei der Sozialversicherungsanstalt des Kantons Zürich, Ausgleichskasse , zum Bezug einer Altersrente an, und beantragte den</w:t>
      </w:r>
    </w:p>
    <w:p>
      <w:r>
        <w:t>Vorbezug um zwei Jahre (Urk. 8/7 ). Nach getätigten Abklärungen sprach ihm die Aus gleichskasse mit Verfügung vom 18. Juli 2019 mit Wirkung ab 1. September 2019 eine einfache ordentliche und infolge Vorbezugs um 2 Jahre um Fr. 8.-- gekürzte Altersrente (Teilrente) in Höhe von monatlich Fr. 52. -- zu ( Urk. 6/27 f . ). Dagegen erhob X.___ am 12. August 2019 Einsprache (Urk. 6/33), welche die Ausgleichskasse mit Einspracheentscheid vom 3 0. August 2019 abwies (Urk. 2).</w:t>
      </w:r>
    </w:p>
    <w:p>
      <w:r>
        <w:rPr>
          <w:b/>
        </w:rPr>
        <w:t>E. 1.3</w:t>
      </w:r>
    </w:p>
    <w:p>
      <w:r>
        <w:t>Gemäss Art. 10a des Abkommens vom 1. Mai 1969 zwischen der Schwei z und der Republik Türkei über s oziale Sicherheit</w:t>
      </w:r>
    </w:p>
    <w:p>
      <w:r>
        <w:t>(nachfolgend: Abkommen) können türkische Staatsangehörige in Abweichung vo n den Artikel 8 und 12 des Ab kommens verlangen, dass die zu ihren Gunsten an die schweizerische Alters- und Hinterlassenenversicherung entrichteten Beiträge an die türkische Sozialversiche rung überwiesen werden, sofern ihnen noch keine Leistungen aus der schweize rischen Alters-, Hinterlassenen- und Invalidenversicherung gewährt worden sind und vorausgesetzt, dass sie die Schweiz verlassen haben, um sich in der Türkei oder einem Drittstaat niederzulassen.</w:t>
      </w:r>
    </w:p>
    <w:p>
      <w:r>
        <w:t>Wurden bei Ehepaaren zugunsten beider Gatten Beiträge an die schweizerische Alters- und Hinterlassenenversicherung entrichtet, so kann jeder Ehegatte einzeln die Überweisung der zu seinen Gunsten entrichteten Beiträge verlangen . (… ) ( Abs. 1).</w:t>
      </w:r>
    </w:p>
    <w:p>
      <w:r>
        <w:t>Türkische Staatsangehörige, deren Beiträge nach Abs. 1 an die türkisch e Sozial versicherung überwiesen wurden, sowie ihre Hinterlassenen, können gegenüber der schweizerischen A lters- und Hinterlassenen- und Invalidenversicherung aufgrund dieser Beiträge keinerlei Ansprüche mehr geltend machen ( Abs. 2).</w:t>
      </w:r>
    </w:p>
    <w:p>
      <w:r>
        <w:rPr>
          <w:b/>
        </w:rPr>
        <w:t>E. 2</w:t>
      </w:r>
    </w:p>
    <w:p>
      <w:r>
        <w:t>S. 3).</w:t>
      </w:r>
    </w:p>
    <w:p>
      <w:r>
        <w:rPr>
          <w:b/>
        </w:rPr>
        <w:t>E. 2.2</w:t>
      </w:r>
    </w:p>
    <w:p>
      <w:r>
        <w:t>Die Ausgleichskasse hat im angefochtenen Einspracheentscheid</w:t>
      </w:r>
    </w:p>
    <w:p>
      <w:r>
        <w:t>( Urk.</w:t>
      </w:r>
    </w:p>
    <w:p>
      <w:r>
        <w:rPr>
          <w:b/>
        </w:rPr>
        <w:t>E. 2.3</w:t>
      </w:r>
    </w:p>
    <w:p>
      <w:r>
        <w:t>E in allfällige r Anspruch auf Ergänzungsleistungen wurde im angefochtenen Ein spracheentscheid nicht geprüft . A uf die entsprechenden Ausführungen des Be schwerdeführers</w:t>
      </w:r>
    </w:p>
    <w:p>
      <w:r>
        <w:t>ist daher mangels eines entsprechenden Anfechtungsobjekts ni c h t näher einzugehen. Diesbezüglich hat die Verwaltung den Beschw e rdeführer vielmehr zu Recht an die dafür zuständige Amtsstelle verwiesen ( Urk.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VorsitzendeDie Gerichtsschreiberin GräubBachmann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