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AB.2019.00052 vom 8. November 2019</w:t>
      </w:r>
    </w:p>
    <w:p>
      <w:r>
        <w:t>ZH Sozialversicherungsgericht, 2019-11-08, DE</w:t>
      </w:r>
    </w:p>
    <w:p>
      <w:r>
        <w:rPr>
          <w:b/>
        </w:rPr>
        <w:t xml:space="preserve">Quelle: </w:t>
      </w:r>
      <w:r>
        <w:t>https://mcp.opencaselaw.ch/entscheid/zh_sozialversicherungsgericht_AB.2019.00052</w:t>
      </w:r>
    </w:p>
    <w:p>
      <w:r>
        <w:t>FR: ZH_SOZIALVERSICHERUNGSGERICHT AB.2019.00052 du 8 novembre 2019</w:t>
      </w:r>
    </w:p>
    <w:p>
      <w:r>
        <w:t>IT: ZH_SOZIALVERSICHERUNGSGERICHT AB.2019.00052 del 8 novembre 2019</w:t>
      </w:r>
    </w:p>
    <w:p>
      <w:pPr>
        <w:pStyle w:val="Heading2"/>
      </w:pPr>
      <w:r>
        <w:t>Erwägungen</w:t>
      </w:r>
    </w:p>
    <w:p>
      <w:r>
        <w:rPr>
          <w:b/>
        </w:rPr>
        <w:t>E. 1</w:t>
      </w:r>
    </w:p>
    <w:p>
      <w:r>
        <w:t>X.___, geb. 1969, ist der Sozialversicherungsanstalt des Kantons Zürich, Ausgleichskasse, als beitragspflichtige Arbeitgeberin angeschlossen. Mit Verfügung vom 6. August 2018 (Urk. 5/469) setzte die Ausgleichskasse für die Zeit vom 1. April bis 30. Juni 2016 aufgelaufene Lohnbeiträge zuzüglich Verzugszins, Mahngebühren und Betreibungskosten von Fr. 1’627.05 fest (Rechnung Nr. «...»; ABR-Nr. «...»). Mit Verfügung vom 10. August 2018 (Urk. 5/473) forderte die Ausgleichskasse im Zusammenhang mit persönlichen Beiträgen von X.___ für aufgelaufene Mahngebühren, Zahlungs befehlskosten, Verzugszinse und Zustellungskosten Fr. 203.45 (Rechnung Nr. «...»). Mit einer weiteren Verfügung vom 17. August 2018 (Urk. 5/476) setzte die Ausgleichskasse für die Zeit vom 1. Juli bis 30. Sep tember 2016 aufgelaufene Lohnbeiträge zuzüglich Verzugszins, Mahngebühren und Betreibungskosten von Fr. 2’025.40 fest (Rechnung Nr. «...»). Mit Eingabe vom 14. September 2018 (Urk. 5/499) erhob X.___ gegen die drei Verfügungen unbegründet Einsprache und führte dazu Folgendes aus: «Da mein Rechtsvertreter wegen eines Todesfalles noch im Aus land ist, möchte ich Sie bitten, mir die zu gewähren eine substanzielle Begrün dung in den nächsten Tagen nachzureichen.» Mit Schreiben vom 9. Oktober 2018 (Urk. 5/522) gewährte die Ausgleichskasse X.___ eine Frist von 30 Tagen mit dem Hinweis, sollte innerhalb der angesetzten Frist keine verbesserte Einsprache eingehen, werde auf die Einsprache nicht eingetreten. Mit als Verfü gung bezeichnetem Einspracheentscheid vom 29. Juli 2019 (Urk. 5/576 = Urk. 2) trat die Ausgleichskasse auf die Einsprache vom 14. September 2018 nicht ein.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52 Abs. 1 des Bundesgesetzes über den Allgemeinen Teil des Sozial versicherungsrechts (ATSG) kann gegen Verfügungen der Verwaltung innerhalb von 30 Tagen bei der verfügenden Stelle Einsprache erhoben werden. Die Frist beginnt am Tag nach ihrer Mitteilung zu laufen (Art. 38 Abs. 1 ATSG).</w:t>
      </w:r>
    </w:p>
    <w:p>
      <w:r>
        <w:t>Gesetzliche oder behördliche Fristen, die nach Tagen oder Monaten bestimmt sind, stehen still, a. vom siebten Tag vor Ostern bis und mit dem siebten Tag nach Ostern;</w:t>
      </w:r>
    </w:p>
    <w:p>
      <w:r>
        <w:t>b.</w:t>
      </w:r>
    </w:p>
    <w:p>
      <w:r>
        <w:t>vom 1 5. Juli bis und mit dem 1 5. August;</w:t>
      </w:r>
    </w:p>
    <w:p>
      <w:r>
        <w:t>c.</w:t>
      </w:r>
    </w:p>
    <w:p>
      <w:r>
        <w:t>vom 1 8. Dezember bis und mit dem 2. Januar (Art. 38 Abs. 4 ATSG). Zur Fristwahrung müssen schriftliche Eingaben spätestens am letzten Tag der Frist zuhanden des Versicherungsträgers der Schweizerischen Post oder einer schweizerischen diplomatischen oder konsu larischen Vertretung übergeben werden (Art. 39 Abs. 1 ATSG).</w:t>
      </w:r>
    </w:p>
    <w:p>
      <w:r>
        <w:rPr>
          <w:b/>
        </w:rPr>
        <w:t>E. 1.3</w:t>
      </w:r>
    </w:p>
    <w:p>
      <w:r>
        <w:t>Gemäss Art. 10 Abs. 1 der Verordnung über den Allgemeinen Teil des Sozialver sicherungsrechts (ATSV) , müssen Einsprachen ein Rechtsbegehren und eine Begründung enthalten. Und Abs. 5 hält fest: Genügt die Einsprache den Anfor derungen nach Absatz 1 nicht oder fehlt die Unterschrift, so setzt der Versicherer eine angemessene Frist zur Behebung der Mängel an und verbindet damit die Androhung, dass sonst auf die Einsprache nicht eingetreten wird.</w:t>
      </w:r>
    </w:p>
    <w:p>
      <w:r>
        <w:rPr>
          <w:b/>
        </w:rPr>
        <w:t>E. 1.4</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Nach dieser Begriffsumschreibung sind Anfechtungsgegenstand und Streitgegenstand identisch, wenn die Verwaltungsverfügung beziehungsweise der Einspracheentscheid insgesamt angefochten wird (BGE 125 V 413). 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w:t>
      </w:r>
    </w:p>
    <w:p>
      <w:r>
        <w:rPr>
          <w:b/>
        </w:rPr>
        <w:t>E. 2</w:t>
      </w:r>
    </w:p>
    <w:p>
      <w:r>
        <w:t>Das Verfahren ist kostenlos.</w:t>
      </w:r>
    </w:p>
    <w:p>
      <w:r>
        <w:rPr>
          <w:b/>
        </w:rPr>
        <w:t>E. 2.1</w:t>
      </w:r>
    </w:p>
    <w:p>
      <w:r>
        <w:t>Den Akten ist zu entnehmen, dass die per Einschreiben versandten Verfügungen vom 6., 10. und 17. August 2018 ( Urk. 5/469, Urk. 5/473 , Urk. 5/476) der Beschwerdeführerin zugestellt wurden, nahm sie doch darauf in ihrer Einsprache vom 14. September 2018 (Urk. 5/499) konkret Bezug. Die Beschwerdeführerin war sich auch im Klaren, dass ihre Einsprache keine rechtsgenügliche Begrün dung enthielt, verlangte sie doch zu deren Begründung eine Fristerstreckung. Die von der Beschwerdegegnerin hierauf am</w:t>
      </w:r>
    </w:p>
    <w:p>
      <w:r>
        <w:t>9. Oktober 2018 ( Urk. 5/522) gewährte Frist erstreckung von 30 Tagen mit dem Hinweis, sollte innerhalb der angesetzten Frist keine verbesserte Einsprache eingehen, auf die Einsprache nicht eingetreten werde,</w:t>
      </w:r>
    </w:p>
    <w:p>
      <w:r>
        <w:t>hat die Beschwerdeführerin ebenfalls empfangen, denn dieses Schreiben wurde ebenfalls per Einschreiben zugesandt und die Beschwerdeführerin nahm im Schreiben vom 14. November 2018 (Urk. 5/540) darauf konkret Bezug.</w:t>
      </w:r>
    </w:p>
    <w:p>
      <w:r>
        <w:t>Damit ist erstellt, dass die Frist von 30 Tagen zur Verbesserung der Einsprache im Oktober 2018 zu laufen begann und spätestens per Ende November 2018 abgelaufen war. Dass eine begründete Einsprache innert Frist oder zu einem anderen Zeitpunkt eingereicht wurde, ist nicht aktenkundig und wird von der Beschwerdeführerin auch nicht geltend gemacht. Unerheblich ist das Vorbringen der Beschwerdeführerin, mit Eingabe vom 14. September 2018 sei die Einsprache frist gewahrt worden (Urk. 1 S. 2), denn dieser Eingabe mangelte es, wie darge stellt, an einer Begründung (E. 1.3 hiervor), was auch die Beschwerdeführerin selbst erkannt hatte, verlangte sie doch gerade zur Behebung dieses Mangels eine Fristerstreckung. Dass in der Folge eine begründete Einsprache eingereicht wurde, machte die Beschwerdeführerin, wie ausgeführt, nicht geltend. Die Beschwerde gegnerin ist damit entsprechend ihrer Androhung in Einsprachee ntscheid vom 2 9. Juli 2019 ( Urk. 2) zu Recht auf die Einsprache nicht eingetreten.</w:t>
      </w:r>
    </w:p>
    <w:p>
      <w:r>
        <w:rPr>
          <w:b/>
        </w:rPr>
        <w:t>E. 2.2</w:t>
      </w:r>
    </w:p>
    <w:p>
      <w:r>
        <w:t>Schliesslich ist darauf hinzuweisen, dass der vorliegende Entscheid lediglich den formellen Gesichtspunkt des Nichteintretens durch die untere Instanz zum Gegenstand hat. Mit materiellen Anträgen — insofern solche dem Vorbringen der Beschwerdeführerin entnommen werden könnten — hat sich das Gericht nicht zu befassen (v gl. vorstehend E. 1.4) .</w:t>
      </w:r>
    </w:p>
    <w:p>
      <w:r>
        <w:rPr>
          <w:b/>
        </w:rPr>
        <w:t>E. 2.3</w:t>
      </w:r>
    </w:p>
    <w:p>
      <w:r>
        <w:t>Zusammenfassend erweist sich der angefochtene Einspracheentscheid vom 29. Juli 2019 als rechtens . Dies führt zur Abweisung der Beschwerde. Die Einzelrichterin erkennt: 1.</w:t>
      </w:r>
    </w:p>
    <w:p>
      <w:r>
        <w:t>Die Beschwerde wird abgewiesen.</w:t>
      </w:r>
    </w:p>
    <w:p>
      <w:r>
        <w:rPr>
          <w:b/>
        </w:rPr>
        <w:t>E. 3</w:t>
      </w:r>
    </w:p>
    <w:p>
      <w:r>
        <w:t>Zustellung gegen Empfangsschein an: - X.___ - Sozialversicherungsanstalt des Kantons Zürich, Ausgleichskasse - Bundesamt für Sozialversicherungen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EinzelrichterinDer Gerichtsschreiber DaubenmeyerNef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