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AB.2017.00021 vom 31. Mai 2017</w:t>
      </w:r>
    </w:p>
    <w:p>
      <w:r>
        <w:t>ZH Sozialversicherungsgericht, 2017-05-31, DE</w:t>
      </w:r>
    </w:p>
    <w:p>
      <w:r>
        <w:rPr>
          <w:b/>
        </w:rPr>
        <w:t xml:space="preserve">Quelle: </w:t>
      </w:r>
      <w:r>
        <w:t>https://mcp.opencaselaw.ch/entscheid/zh_sozialversicherungsgericht_AB.2017.00021</w:t>
      </w:r>
    </w:p>
    <w:p>
      <w:r>
        <w:t>FR: ZH_SOZIALVERSICHERUNGSGERICHT AB.2017.00021 du 31 mai 2017</w:t>
      </w:r>
    </w:p>
    <w:p>
      <w:r>
        <w:t>IT: ZH_SOZIALVERSICHERUNGSGERICHT AB.2017.00021 del 31 maggio 2017</w:t>
      </w:r>
    </w:p>
    <w:p>
      <w:pPr>
        <w:pStyle w:val="Heading2"/>
      </w:pPr>
      <w:r>
        <w:t>Erwägungen</w:t>
      </w:r>
    </w:p>
    <w:p>
      <w:r>
        <w:rPr>
          <w:b/>
        </w:rPr>
        <w:t>E. 1</w:t>
      </w:r>
    </w:p>
    <w:p>
      <w:r>
        <w:t>Mit Verfügung vom 29. Dezember 2016 lehnte die Sozialversicheru n gsanstalt des Kantons Zürich, Ausgleichskasse, das Gesuch von X.___ um An schluss und Registrierung als Selb ständigerwerbender ab (Urk. 5/23 ). Eine dagegen am 30. Dezember 2016 erhobene Einsprache (Urk.</w:t>
      </w:r>
    </w:p>
    <w:p>
      <w:r>
        <w:t>5/25) wies die Aus gleichskasse mit Einspracheentscheid vom 3. März 2017 ebenfalls ab (Urk. 2).</w:t>
      </w:r>
    </w:p>
    <w:p>
      <w:r>
        <w:rPr>
          <w:b/>
        </w:rPr>
        <w:t>E. 2</w:t>
      </w:r>
    </w:p>
    <w:p>
      <w:r>
        <w:t>Die Verwaltung hat im angefochtenen Entscheid</w:t>
      </w:r>
    </w:p>
    <w:p>
      <w:r>
        <w:t>die Anerkennung und Regi strierung des Beschwerdeführers als Selbständigerwerbender abgelehnt . Sie hat dies im Wesentlichen damit begründet , d ass weder die Y.___ , ausgeführte ( Treuhand -)T ätigkeit noch die für die Z.___ AG , ausgeübte Tätigkeit</w:t>
      </w:r>
    </w:p>
    <w:p>
      <w:r>
        <w:t>als s elbständige Erwerbs tätigkeit gelten könne (Urk. 2) .</w:t>
      </w:r>
    </w:p>
    <w:p>
      <w:r>
        <w:rPr>
          <w:b/>
        </w:rPr>
        <w:t>E. 2.1</w:t>
      </w:r>
    </w:p>
    <w:p>
      <w:r>
        <w:t>Nach Art. 49 Abs.</w:t>
      </w:r>
    </w:p>
    <w:p>
      <w:r>
        <w:rPr>
          <w:b/>
        </w:rPr>
        <w:t>E. 2.3</w:t>
      </w:r>
    </w:p>
    <w:p>
      <w:r>
        <w:t>Aus den Akten ist weder ersichtlich, dass die Verfügung vom</w:t>
      </w:r>
    </w:p>
    <w:p>
      <w:r>
        <w:t>29.</w:t>
      </w:r>
    </w:p>
    <w:p>
      <w:r>
        <w:t>Dezember 2016 noch der angefochtene Einspracheentscheid vom 3. März 2017</w:t>
      </w:r>
    </w:p>
    <w:p>
      <w:r>
        <w:t>zwecks Wahrung de s Gehörsanspruchs den ( somit ) als Arbeitgeb erinn en ange spro che nen Betroffenen eröffnet worden wäre n (vgl. zum Ganzen auch BGE 113 V</w:t>
      </w:r>
    </w:p>
    <w:p>
      <w:r>
        <w:t>1) . Alsdann ist d as Gericht nicht verpflichtet, den von</w:t>
      </w:r>
    </w:p>
    <w:p>
      <w:r>
        <w:t>der Verwaltung unterlassene n Einbezug der potentiellen Arbeitgebenden</w:t>
      </w:r>
    </w:p>
    <w:p>
      <w:r>
        <w:t>mittels Beiladung nachzuholen (vgl. BGE 132 V 264 E. 3; vgl. auch BGE 113 V 1 E. 4). Der angefochtene E i nsprachee ntscheid ist daher bereits aus formellen Gründen aufzuheben und die Sache zur gehörigen Eröffnung der Entscheide an sämt liche davon Betroffenen zurückzuweisen. Da vorliegend verschiedene von ein ander unabhängige Vertragsparteien als potentielle Arbeitgeber zur Frage stehen, erscheint</w:t>
      </w:r>
    </w:p>
    <w:p>
      <w:r>
        <w:t>es aus verfahrensrechtlichen Überlegungen dabei überdies</w:t>
      </w:r>
    </w:p>
    <w:p>
      <w:r>
        <w:t>geboten , diesbezüglich separate ,</w:t>
      </w:r>
    </w:p>
    <w:p>
      <w:r>
        <w:t>auf die jeweilige Tätigkeit bezogene Ent schei de zu erlassen .</w:t>
      </w:r>
    </w:p>
    <w:p>
      <w:r>
        <w:rPr>
          <w:b/>
        </w:rPr>
        <w:t>E. 3</w:t>
      </w:r>
    </w:p>
    <w:p>
      <w:r>
        <w:t>.</w:t>
      </w:r>
    </w:p>
    <w:p>
      <w:r>
        <w:rPr>
          <w:b/>
        </w:rPr>
        <w:t>E. 3.1</w:t>
      </w:r>
    </w:p>
    <w:p>
      <w:r>
        <w:t>F ür die Prüfung der Frage, ob der Beschwerdeführer</w:t>
      </w:r>
    </w:p>
    <w:p>
      <w:r>
        <w:t>mit Blick auf die von ihm geltend gemachten erwerblichen Tätigkeiten als Selbständigerwerbender zu gelten hat, bleibt unter diese n Umständen kein Raum (vgl. E.</w:t>
      </w:r>
    </w:p>
    <w:p>
      <w:r>
        <w:t>1 hievor ) . Anzumerken ist immerhin , dass die beitragsrechtliche Unterscheidung des Selb ständigerwerbenden vom Unselbständigerwerbenden auf einer unab hängi gen Begriffsbildung beruht , die sich insbesondere mit dem, was übli cher weise unter einem ( Un )-Selbständigen verstanden werd en mag, nicht zu decken braucht . In diesem Sinne ist bei einem Versicherten, der gleichzeitig mehrere Tätigkeiten ausübt, jedes Erwerbseinkommen dahingehend zu prüfen , ob es aus selbständiger oder unselbständiger Erwerbstätigkeit stammt, selbst wenn die Arbeiten für eine und dieselbe Firma vorgenommen werden ( vgl. BGE 122 V 169 E.</w:t>
      </w:r>
    </w:p>
    <w:p>
      <w:r>
        <w:t>3b mit Hinweisen auf BGE 104 V 126</w:t>
      </w:r>
    </w:p>
    <w:p>
      <w:r>
        <w:t>sowie ZAK 1979 S.</w:t>
      </w:r>
    </w:p>
    <w:p>
      <w:r>
        <w:t>146).</w:t>
      </w:r>
    </w:p>
    <w:p>
      <w:r>
        <w:rPr>
          <w:b/>
        </w:rPr>
        <w:t>E. 3.2</w:t>
      </w:r>
    </w:p>
    <w:p>
      <w:r>
        <w:t>Mit Blick auf die Vorbringen des Beschwerdeführers , wonach er – was die Verwaltung im angefochtenen Entscheid „unterschlagen“ habe - neben den darin aufgeführten Tätigkeiten ( Y.___ und die Z.___ AG ) im Rahmen seiner Selbständigkeit auch</w:t>
      </w:r>
    </w:p>
    <w:p>
      <w:r>
        <w:t>als „Profi-Verwaltungsrat“</w:t>
      </w:r>
    </w:p>
    <w:p>
      <w:r>
        <w:t>in verschiedenen Gesellschaften mit Vergü tung als Verwaltungsrat tätig sei (Urk. 1 S. 2) , folgt , dass</w:t>
      </w:r>
    </w:p>
    <w:p>
      <w:r>
        <w:t>er</w:t>
      </w:r>
    </w:p>
    <w:p>
      <w:r>
        <w:t>daraus be zogen auf die im angefochtenen Entscheid beurteilten Tätigkeiten von Vorneherein nichts</w:t>
      </w:r>
    </w:p>
    <w:p>
      <w:r>
        <w:t>für die Annahme einer selbständige n Erwerbstätigkeit</w:t>
      </w:r>
    </w:p>
    <w:p>
      <w:r>
        <w:t>abzuleiten ver mag . Dies auch daher, als die Tätigkeit als Verwaltungsrat i m schweizeri schen AHV -Beitragsr echt</w:t>
      </w:r>
    </w:p>
    <w:p>
      <w:r>
        <w:t>regelmässig als unselbständig erwerbend gilt (vgl. Kie ser , Rechtsprechung zur AHV, 3. Auflage, Art.</w:t>
      </w:r>
    </w:p>
    <w:p>
      <w:r>
        <w:rPr>
          <w:b/>
        </w:rPr>
        <w:t>E. 5</w:t>
      </w:r>
    </w:p>
    <w:p>
      <w:r>
        <w:t>Gegen diesen Entscheid kann innert 30 Tagen seit der Zustellung beim Bundes 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