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AB.2015.00094 vom 26. April 2017</w:t>
      </w:r>
    </w:p>
    <w:p>
      <w:r>
        <w:t>ZH Sozialversicherungsgericht, 2017-04-26, DE</w:t>
      </w:r>
    </w:p>
    <w:p>
      <w:r>
        <w:rPr>
          <w:b/>
        </w:rPr>
        <w:t xml:space="preserve">Quelle: </w:t>
      </w:r>
      <w:r>
        <w:t>https://mcp.opencaselaw.ch/entscheid/zh_sozialversicherungsgericht_AB.2015.00094</w:t>
      </w:r>
    </w:p>
    <w:p>
      <w:r>
        <w:t>FR: ZH_SOZIALVERSICHERUNGSGERICHT AB.2015.00094 du 26 avril 2017</w:t>
      </w:r>
    </w:p>
    <w:p>
      <w:r>
        <w:t>IT: ZH_SOZIALVERSICHERUNGSGERICHT AB.2015.00094 del 26 aprile 2017</w:t>
      </w:r>
    </w:p>
    <w:p>
      <w:pPr>
        <w:pStyle w:val="Heading2"/>
      </w:pPr>
      <w:r>
        <w:t>Erwägungen</w:t>
      </w:r>
    </w:p>
    <w:p>
      <w:r>
        <w:rPr>
          <w:b/>
        </w:rPr>
        <w:t>E. 1</w:t>
      </w:r>
    </w:p>
    <w:p>
      <w:r>
        <w:t>Mit Verfügung vom 6. Oktober 2014 forderte die Sozialversicherungsanstalt de s Kantons Zürich, Ausgleichskasse, von der X.___ AG für das Jahr 2013 eine Nachzahlung von Fr. 33‘566.95 für paritätische AHV/IV/EO- und FAK-Beiträge samt Verwaltungskosten (Urk. 8/26). Sie hielt daran mit Einsprache entscheid vom 9. November 2015 fest mit der Begründung, ein Teil der von Verwaltungsrat Y.___ im Jahr 2013 bezogenen Dividende sei als massgebender Lohn zu betrachten (Urk. 2).</w:t>
      </w:r>
    </w:p>
    <w:p>
      <w:r>
        <w:rPr>
          <w:b/>
        </w:rPr>
        <w:t>E. 1.1</w:t>
      </w:r>
    </w:p>
    <w:p>
      <w:r>
        <w:t>Gemäss Art. 4 und 5 des Bundesgesetzes über die Alters- und Hinterlasse ne n versicherung (AHVG) werden Sozialversicherungsbeiträge nur vom Er werbs ein kommen erhoben, nicht aber vom Vermögensertrag (BGE 122 V 178 E. 3b) . Dividenden stellen beitragsfreien Vermögensertrag dar (vgl. ferner Rz. 2011 der Wegleitung des Bundesamtes für Sozialversicherungen über den mass ge benden Lohn in der AHV, IV und EO vom 1. Januar 2008 [Stand 1. Januar 2015; nachfolgend: WML]). Weil auf Dividenden keine Sozialversi cherungs abgaben geschuldet sind, mag es beitragspflichtigen Unternehmer aktionären als vorteilhaft erscheinen, hohe Dividenden und ein tiefes Salär auszuweisen (BGE 141 V 634 E. 2.1 mit Hinweisen).</w:t>
      </w:r>
    </w:p>
    <w:p>
      <w:r>
        <w:rPr>
          <w:b/>
        </w:rPr>
        <w:t>E. 1.2</w:t>
      </w:r>
    </w:p>
    <w:p>
      <w:r>
        <w:t>Nach der Rechtsprechung gehören Vergütungen, die als reiner Kapitalertrag zu</w:t>
      </w:r>
    </w:p>
    <w:p>
      <w:r>
        <w:t>betrachten sind, nicht zum massgebenden Lohn. Ob dies zutrifft, ist nach de m Wesen und der Funktion einer Zuwendung zu beurteilen. Deren rechtli che oder wirtschaftliche Bezeichnung ist nicht entscheidend und höchstens als Indiz zu werten. Unter Umständen können auch Zuwendungen aus dem Rein gewinn einer Aktiengesellschaft beitragsrechtlich massgebender Lohn sein; dies gilt laut Art. 7 lit. h der Verordnung über die Alters- und Hinter lasse n en versicherung (AHVV) namentlich für Tantiemen. Es handelt sich da bei um Ver gütungen, die im Arbeitsverhältnis ihren Grund haben. Zuwen dung en, die nicht durch das Arbeitsverhältnis gerechtfertigt werden, gehören nicht zum massgebenden Lohn, sondern sind Gewinnausschüttungen, welche eine Gesell schaft ihren Gesellschaftern ohne entsprechende Gegenleistung zuwendet, aber unbeteiligten Dritten unter den gleichen Umständen nicht er bringen würde (BGE 141 V 634 E. 2.1, 134 V 297 E. 2.1, 103 V 1 E. 2b).</w:t>
      </w:r>
    </w:p>
    <w:p>
      <w:r>
        <w:rPr>
          <w:b/>
        </w:rPr>
        <w:t>E. 1.3</w:t>
      </w:r>
    </w:p>
    <w:p>
      <w:r>
        <w:t>Dabei müssen im Lichte der gesetzlichen Grundentscheidung, wonach nur Erwerbseinkommen, nicht aber Vermögensertrag beitragspflichtig ist, bei der Beurteilung von Leistungen, welche eine Aktiengesellschaft an Personen ausrichtet, die zugleich Arbeitnehmer und Aktionäre sind, einerseits eine an gemessene Entschädigung für die geleistete Arbeit und anderseits ein ange messener Vermögensertrag zugrunde gelegt werden. Die Gesellschaft hat hier einen erheblichen Ermessensspielraum. Den Steuerbehörden steht es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w:t>
      </w:r>
    </w:p>
    <w:p>
      <w:r>
        <w:rPr>
          <w:b/>
        </w:rPr>
        <w:t>E. 1.4</w:t>
      </w:r>
    </w:p>
    <w:p>
      <w:r>
        <w:t>Hinsichtlich der Frage, ob ein offensichtliches Missverhältnis zwischen Arbeits leistung und Lohn bzw. zwischen eingesetztem Vermögen und Divi dende besteht, hat sich eine Praxis entwickelt, die laut BGE 134 V 297 in modifizierter Form bundesrechtskonform ist (sog. "Nidwaldner Praxis"). Dem nach werden deklariertes AHV-Einkommen und branchenübliches Ge halt einerseits und Dividendenzahlung und Aktienwert anderseits zueinander in Beziehung gesetzt, um zu bestimmen, ob ein Teil der ausgeschütteten Di vi dende als beitragsrechtlich massgebendes Einkommen aufzurechnen ist. Vom Bundesgericht ist die genannte Praxis lediglich insofern korrigiert wor den, als die Angemessenheit des (beitragsfreien) Vermögensertrags nicht in Rela tion zum Nennwert (Nominalwert), sondern zum effektiven wirtschaftli chen Wert der Aktien (Eigenkapital inkl. offene und stille Reserven) zu beur teilen ist (BGE 141 V 634 E. 2.2.2, 134 V 297 E. 2.8; vgl. auch Rz. 2011.3 WML).</w:t>
      </w:r>
    </w:p>
    <w:p>
      <w:r>
        <w:rPr>
          <w:b/>
        </w:rPr>
        <w:t>E. 1.5</w:t>
      </w:r>
    </w:p>
    <w:p>
      <w:r>
        <w:t>Praxisgemäss ist es Sache der Ausgleichskassen, selbstständig zu beurteilen, ob ein Einkommensbestandteil als massgebender Lohn oder als Kapitalertrag qualifiziert werden muss. Der in Art. 23 AHVV enthaltenen Ordnung ent spricht es, dass sich die Ausgleichskassen in der Regel jedoch an die bundes steuerrechtliche Betrachtungsweise halten. Soweit es vertretbar ist, soll eine verschiedene Betrachtungsweise der Steuerbehörde und der AHV-Verwaltung vermieden werden, dies um der Einheit und Widerspruchslosigkeit der ge samten Rechtsordnung willen (BGE 103 V 1 E. 2c; Urteil des vormaligen Eidg. Versicherungsgerichts H 131/86 vom 3. August 1988 E. 2c). Die Paral lelität zwischen sozialversicherungs- und steuerrechtlicher Qualifikation ist nicht leichthin preiszugeben (BGE 141 V 634 E. 2.5 mit Hinweisen).</w:t>
      </w:r>
    </w:p>
    <w:p>
      <w:r>
        <w:rPr>
          <w:b/>
        </w:rPr>
        <w:t>E. 2</w:t>
      </w:r>
    </w:p>
    <w:p>
      <w:r>
        <w:t>WML). Wie im AHV-Recht, aber mit umgekehrten Vorzeichen, ist da bei auf einen Drittvergleich abzustellen: Es ist zu prüfen, ob unter Berück sichtigung aller objektiven und subjektiven Faktoren die gleiche Leistung auch einem aussenstehenden Dritten erbracht worden wäre (BGE 141 V 634 E. 2.2.1, 134 V 297 E. 2.2).</w:t>
      </w:r>
    </w:p>
    <w:p>
      <w:r>
        <w:rPr>
          <w:b/>
        </w:rPr>
        <w:t>E. 2.1</w:t>
      </w:r>
    </w:p>
    <w:p>
      <w:r>
        <w:t>Das Aktionariat der X.___ AG bestand im vorliegend interessierenden Zeit raum aus Z.___ als Haupt- und Y.___ als Minderheitsak tionär. Die beiden bildeten zugleich den Verwaltungsrat (Urk. 8/24/29, 8/45). Überdies waren sie über ein Arbeitsverhältnis mit der X.___ AG verbun den. Z.___ fungierte als CEO und Y.___ als CFO (vgl. Urk. 1 S. 5).</w:t>
      </w:r>
    </w:p>
    <w:p>
      <w:r>
        <w:t>Im Jahr 2013 erhielt Y.___ einen Lohn von Fr. 200‘000.-- und einen variablen Bonus von Fr. 150‘000.-- (Urk. 8/24/2). Für dasselbe Jahr wurde de n Aktionären eine ordentliche Dividende von Fr. 9.35 je Aktie ausgerichtet. D ies machte insgesamt Fr. 1‘402‘500.-- aus, wovon Fr. 1‘051‘875.-- auf Z.___ und Fr. 350‘625.-- auf Y.___ entfielen (Urk. 8/24/29-31). Zu sätzlich wurde (ausschliesslich) Y.___ eine Sonderdividende von Fr. 7.45 je Aktie, insgesamt Fr. 279‘375.--, ausgeschüttet (Urk. 8/24/28+31).</w:t>
      </w:r>
    </w:p>
    <w:p>
      <w:r>
        <w:rPr>
          <w:b/>
        </w:rPr>
        <w:t>E. 2.2</w:t>
      </w:r>
    </w:p>
    <w:p>
      <w:r>
        <w:t>Im Rahmen einer Arbeitgeberkontrolle vom 30. September 2014 hielt der zuständige Revisor der Ausgleichskasse fest, dass sich die Saläre von Y.___ und Z.___ in den Jahren 2010 bis 2013 zwischen Fr. 300‘000.-- bis Fr. 375‘000.-- bewegt hätten. Diese Löhne seien der ge leisteten Arbeit angemessen gewesen resp. hätten gar über dem bran chen übli chen Gehalt gelegen (Urk. 8/24/1+5). Hingegen stellte der Revisor fest, dass im Jahr 2013 - anders als in den Vorjahren - die ausgerichtete Divi dende im Ver hältnis zum Wert der Aktien über 10 % liege, etwa bei 52 % (Urk. 8/24/1+ 5).</w:t>
      </w:r>
    </w:p>
    <w:p>
      <w:r>
        <w:rPr>
          <w:b/>
        </w:rPr>
        <w:t>E. 2.3</w:t>
      </w:r>
    </w:p>
    <w:p>
      <w:r>
        <w:t>Auf Nachfrage der Ausgleichskasse hin, weshalb Y.___ bei gleich wer tigen Namenaktien eine Sonderdividende erhalten habe, führte die X.___ AG im Schreiben vom 8. August 2014 aus, diese Dividende habe weder in zeitlicher noch betragsmässiger Hinsicht Lohncharakter. Die Ar beitsleistung von Y.___ sei mit den getätigten Lohn- und Bonus zahlungen in der Höhe von Fr. 350‘000.-- bereits vollumfänglich abgegolten. Der Hintergrund für die Sonderdividende sei, dass die X.___ AG von der A.___ AG rück wirkend per 1. Januar 2014 übernommen werden solle. Die entsprechenden Verhandlungen seien im Gange. Eine Vorbedingung für die Übernahme sei, dass die Bilanz der X.___ AG reduziert werde, da ein Kauf von Bargeld keinen Sinn mache. Aus diesem Grund sei der gesamte Bilanz gewinn (ver steuerter Jahresgewinn plus Gewinnvortrag) an die Aktionäre ausgeschüttet worden. Um die Zustimmung von Y.___ als Minder heitsaktionär und damit zum Verkauf seiner Aktien zu erhalten, habe er mit Zustimmung des Hauptaktionärs eine Sonderdividende erhalten. Würde Y.___ seine Aktien nicht verkaufen, käme die Transaktion nicht zustande (Urk. 8/24/2).</w:t>
      </w:r>
    </w:p>
    <w:p>
      <w:r>
        <w:rPr>
          <w:b/>
        </w:rPr>
        <w:t>E. 3.1</w:t>
      </w:r>
    </w:p>
    <w:p>
      <w:r>
        <w:t>Die Ausgleichskasse stellte sich in der Nachzahlungsverfügung resp. im ange fochtenen Einspracheentscheid auf den Standpunkt, dass im Aktienrecht die Aktionäre gleich zu behandeln seien. Bei der an Y.___ ausge schütteten Sonderdividende handle es sich daher der Natur nach nicht um eine Dividende, sondern um eine Bonuszahlung. Entsprechend behandelte die Ausgleichskasse die Zahlung von Fr. 279‘375.-- als Lohn, woraus die Bei tragsforderung von Fr. 33‘566.95 resultierte (Urk. 2, 8/26).</w:t>
      </w:r>
    </w:p>
    <w:p>
      <w:r>
        <w:rPr>
          <w:b/>
        </w:rPr>
        <w:t>E. 3.2</w:t>
      </w:r>
    </w:p>
    <w:p>
      <w:r>
        <w:t>Dieser Argumentation der Ausgleichskasse ist entgegenzuhalten, dass die Umqualifikation einer Dividende in massgebenden Lohn nur zulässig ist, wenn kumulativ ein unangemessen tiefer Lohn mit einer im Vergleich zum eingesetzten Kapital unangemessen hohen Dividende einhergeht (BGE 141 V 634, 134 V 297). Bei einem Lohn in angemessener Höhe bleibt praxisgemäss kein Raum, um von der steuerrechtlichen Qualifikation abzuweichen und beitragsrechtlichen statt von einer Dividende von massgebendem Lohn aus zugehen (Bundesgerichtsurteil 9C_837/2014 vom 8. April 2015 E. 2.2). Die X.___ AG bezahlte unbestrittenermassen branchenübliche oder gar dar über liegende Löhne. Dies trifft insbesondere in Bezug auf Y.___ zu (Urk. 8/24/1). Die vorgenommene Umqualifikation von Dividende in Lohn ist daher nicht zulässig. Daran ändert nichts, dass die Dividende nicht nur aus dem im Jahr 2013 erzielten Gewinn (vgl. dazu Urk. 8/24/32), sondern auch aus Gewinnen früherer Geschäftsperioden ausgeschüttet wurde (sog. Sub sta nz dividende), weil die ausbezahlten Löhne nicht nur im 2013, sondern auch in den Vorjahren branchenüblich waren (vgl. dazu Bundesgerichtsurteil 9C_669/2011 vom 25. Oktober 2012 E. 2 und 4 ). Die Dividendenzahlungen wurden nach unbestritten gebliebener Darstellung der Beschwerdeführerin von den Steuerbehörden als Kapitalertrag behandelt und entsprechend be steuert ( Urk. 1 S. 6 ; vgl. dazu Bundesgerichtsurteil 9C_837/2014 vom 8. April 2015 E. 2.3).</w:t>
      </w:r>
    </w:p>
    <w:p>
      <w:r>
        <w:t>Anzufügen bleibt, dass die Begründung der X.___ AG für die Dividenden ausschüttung plausibel erscheint . Die Entnahme von Gesellschaftsmitteln, wie sie vorliegend in Hinblick auf die geplante Übernahme erfolgte , findet typischerweise in Form einer Substanzdividende statt (vgl. Bundesgerichts urteil 2C_388/2010 vom 28. Januar 2011 E. 3.3.3; ferner etwa: Rich ner/Frei /</w:t>
      </w:r>
    </w:p>
    <w:p>
      <w:r>
        <w:t>Kaufmann, Handkommentar zum DBG, Zürich 2003, Art. 20 Rz.</w:t>
      </w:r>
    </w:p>
    <w:p>
      <w:r>
        <w:t>124). Der Revisor der Ausgleichskasse selber bestätigte denn auch, dass ein solches Vo r gehen vor einer Übernahme nichts Aussergewöhnliches sei (Urk. 8/24/1+9). Der Beweggrund für die Auszahlung der Dividenden war gesellschafts recht licher und nicht arbeitsrechtlicher Natur. Hinsichtlich der Sonderdividende liegt zwar eine Ungleichbehandlung der Aktionäre vor. Sinn und Funktion des aktienrechtlichen Gleichbehandlungsgebots ist es, ei nen Machtmiss brauch der Mehrheit zulasten von Minderheitsaktionären zu verhindern (vgl. etwa Bundesgerichtsurteil 4C.242/2001 vom 5. März 2003 E. 3.1). Eine solche Problematik stellt sich vorliegend indessen nicht . Das Gleichbehandlungs gebot gilt sodann nicht absolut. Eine Abweichung davon ist möglich, sofern es im Gesellschaftsinteresse liegt und zur Verfolgung des Gesellschaft szwecks unumgänglich respektive gerechtfertigt ist ( vgl. etwa Forstmoser/Meier-Hayoz/Nobel, Schweizerisches Aktienrecht, Bern 1996, § 39 N 64 ; Böckli, Schweizer Aktienrecht, 4. Aufl., Zürich/Basel/Genf, 2009, § 13 N 680 ). Einem Aktionär steht es zudem f rei, auf die Geltendmachung ihm zustehender Rechte zu verzichten (vgl.</w:t>
      </w:r>
    </w:p>
    <w:p>
      <w:r>
        <w:t>Meier-Hayoz/Forstmoser, Schwei zerisches Gesell schaf ts recht, 11. Aufl. 2012, S. 495), und mag in gewissen Fällen, wie etwa dem vorliegenden, als angezeigt erscheinen. Ein faktisches „Kaufen“ der Zustimmung der Minderheit zur Aktienübertragung erscheint jedenfalls nicht als rechtswidrig und in diesem Zusammenhang vorgenom mene Zahlungen basieren nicht auf einer Arbeitsleistung, sondern auf strate gischen Über le gungen zum Fortgang der Gesellschaft. Jedenfalls kann der Ausgleichskasse nicht gefolgt werden, wenn sie daraus den Schluss zieht, es liege beitrags recht lich eine Lohnzahlung vor.</w:t>
      </w:r>
    </w:p>
    <w:p>
      <w:r>
        <w:t>Nach dem Gesagten ist die Beschwerde gutzuheissen.</w:t>
      </w:r>
    </w:p>
    <w:p>
      <w:r>
        <w:rPr>
          <w:b/>
        </w:rPr>
        <w:t>E. 4</w:t>
      </w:r>
    </w:p>
    <w:p>
      <w:r>
        <w:t>Zustellung gegen Empfangsschein an: - Rechtsanwalt Emil Robert Meier - Sozialversicherungsanstalt des Kantons Zürich, Ausgleichskasse - Bundesamt für Sozialversicherungen</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