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AB.2015.00078 vom 23. Februar 2016</w:t>
      </w:r>
    </w:p>
    <w:p>
      <w:r>
        <w:t>ZH Sozialversicherungsgericht, 2016-02-23, DE</w:t>
      </w:r>
    </w:p>
    <w:p>
      <w:r>
        <w:rPr>
          <w:b/>
        </w:rPr>
        <w:t xml:space="preserve">Quelle: </w:t>
      </w:r>
      <w:r>
        <w:t>https://mcp.opencaselaw.ch/entscheid/zh_sozialversicherungsgericht_AB.2015.00078</w:t>
      </w:r>
    </w:p>
    <w:p>
      <w:r>
        <w:t>FR: ZH_SOZIALVERSICHERUNGSGERICHT AB.2015.00078 du 23 février 2016</w:t>
      </w:r>
    </w:p>
    <w:p>
      <w:r>
        <w:t>IT: ZH_SOZIALVERSICHERUNGSGERICHT AB.2015.00078 del 23 febbraio 2016</w:t>
      </w:r>
    </w:p>
    <w:p>
      <w:pPr>
        <w:pStyle w:val="Heading2"/>
      </w:pPr>
      <w:r>
        <w:t>Erwägungen</w:t>
      </w:r>
    </w:p>
    <w:p>
      <w:r>
        <w:rPr>
          <w:b/>
        </w:rPr>
        <w:t>E. 1</w:t>
      </w:r>
    </w:p>
    <w:p>
      <w:r>
        <w:t>‘ 576. -- zu (Urk.</w:t>
      </w:r>
    </w:p>
    <w:p>
      <w:r>
        <w:t>7/59). Dage gen erhob</w:t>
      </w:r>
    </w:p>
    <w:p>
      <w:r>
        <w:t>X.___ am 27.</w:t>
      </w:r>
    </w:p>
    <w:p>
      <w:r>
        <w:t>August 2015 Einsprache (Urk. 7/61) , welche die Aus g leichskasse mit Einspracheentscheid vom 24. September 2015 abwies (Urk.</w:t>
      </w:r>
    </w:p>
    <w:p>
      <w:r>
        <w:rPr>
          <w:b/>
        </w:rPr>
        <w:t>E. 2</w:t>
      </w:r>
    </w:p>
    <w:p>
      <w:r>
        <w:t>AHVG). 1 .3</w:t>
      </w:r>
    </w:p>
    <w:p>
      <w:r>
        <w:t>Nach Art. 29 bis</w:t>
      </w:r>
    </w:p>
    <w:p>
      <w:r>
        <w:t>Abs. 1 AHVG werden für die Berechnung der ordentlichen Ren ten Beitragsjahre, Erwerbseinkommen sowie Erziehungs- oder Betreuungsgut schriften der rentenberechtigten Person zwischen dem 1. Januar nach Vollen dung des 20. Altersjahres und dem 31. Dezember vor Eintritt des Versiche rungsfalles (Rentenalter oder Tod) berücksichtigt. Die Rente wird nach Massgabe des durchschnittlichen Jahreseinkommens berechnet, welches sich aus den Er werbseinkommen, den Erziehungsgutschriften und den Betreuungsgutschriften zusammensetzt (Art. 29 quater AHVG). Was begrifflich unter Erwerbseinkommen im Sinne dieser Vorschrift zu verstehen ist, wird in Art. 29 quinquies</w:t>
      </w:r>
    </w:p>
    <w:p>
      <w:r>
        <w:t>Abs. 1 und 2 AHVG näher umschrieben. Daneben enthält diese Bestimmung unter anderem für verheiratete Personen eine besondere Bemessungsregel. Nach Art. 29 quinquies</w:t>
      </w:r>
    </w:p>
    <w:p>
      <w:r>
        <w:t>Abs.</w:t>
      </w:r>
    </w:p>
    <w:p>
      <w:r>
        <w:rPr>
          <w:b/>
        </w:rPr>
        <w:t>E. 3</w:t>
      </w:r>
    </w:p>
    <w:p>
      <w:r>
        <w:t>lit. a AHVG werden Einkommen, welche die Ehegatten während der Ka lenderjahre der gemeinsamen Ehe erzielt haben, geteilt und je zur Hälfte den beiden Ehegatten angerechnet ("Splitting"). Die Einkommensteilung wird vorge nommen, wenn beide Ehegatten rentenberechtigt sind</w:t>
      </w:r>
    </w:p>
    <w:p>
      <w:r>
        <w:t>(lit. a), wenn eine verwit wete Person Anspruch auf eine Altersrente hat ( lit. b) oder bei Auflösung der Ehe durch Scheidung ( lit. c ) . Der Teilung und der gegenseitigen Anrechnung un terliegen laut Art. 29 quinquies</w:t>
      </w:r>
    </w:p>
    <w:p>
      <w:r>
        <w:t>Abs.</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GräubBachmann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