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AB.2015.00063 vom 27. Juni 2017</w:t>
      </w:r>
    </w:p>
    <w:p>
      <w:r>
        <w:t>ZH Sozialversicherungsgericht, 2017-06-27, DE</w:t>
      </w:r>
    </w:p>
    <w:p>
      <w:r>
        <w:rPr>
          <w:b/>
        </w:rPr>
        <w:t xml:space="preserve">Quelle: </w:t>
      </w:r>
      <w:r>
        <w:t>https://mcp.opencaselaw.ch/entscheid/zh_sozialversicherungsgericht_AB.2015.00063</w:t>
      </w:r>
    </w:p>
    <w:p>
      <w:r>
        <w:t>FR: ZH_SOZIALVERSICHERUNGSGERICHT AB.2015.00063 du 27 juin 2017</w:t>
      </w:r>
    </w:p>
    <w:p>
      <w:r>
        <w:t>IT: ZH_SOZIALVERSICHERUNGSGERICHT AB.2015.00063 del 27 giugno 2017</w:t>
      </w:r>
    </w:p>
    <w:p>
      <w:pPr>
        <w:pStyle w:val="Heading2"/>
      </w:pPr>
      <w:r>
        <w:t>Erwägungen</w:t>
      </w:r>
    </w:p>
    <w:p>
      <w:r>
        <w:rPr>
          <w:b/>
        </w:rPr>
        <w:t>E. 1</w:t>
      </w:r>
    </w:p>
    <w:p>
      <w:r>
        <w:t>X.___ ist seit dem Jahr R.___ Mitglied des Zürcher Kantonsrates, in den Jahren T.___ bis U.___ präsidierte er dessen Kommission S.___ . Mit Schreiben vom 24. September 2014 gelangte X.___ an die Sozialversicherungsanstalt des Kantons Zürich, Ausgleichskasse, und er suchte diese um Erlass einer einsprachefähigen Verfügung zur Frage, ob in seinem Fall, in welchem keine über die jährliche Unkostenpauschale hinaus gehenden Spesen nachgewiesen seien, die AHV-Beitragspflicht auf den für seine Ratstätigkeit ausgerichteten Entschädigungen korrekt erfüllt worden sei (Urk. 10/1). Die Ausgleichskasse holte daraufhin mit Schreiben vom 29. Okto ber 2014 bei X.___ ergänzende Auskünfte unter anderem zu den ihm im Zusammenhang mit seiner Ratstätigkeit tatsächlich entstandenen Ausla gen ein (Urk. 10/6 und Urk. 10/9). In der Folge erliess sie am 18. Dezember 2014 fünf Nachzahlungsverfügungen, mit welchen sie - nach teilweiser Aufrechnung von bisher als Unkostenentschädigungen qualifizierten Entgel ten zum massgebenden Lohn - für die Jahre 2009 (nur Monat Dezember) bis 2013 vom Kanton Zürich („als Arbeitgeber“) paritätische Beiträge und FAK-Beiträge nachforderte (für das Jahr 2009 Fr. 249.15, für das Jahr 2010 Fr. 1‘720.20, für das Jahr 2011 Fr. 1‘543.95, für das Jahr 2012 Fr. 1‘202.75 sowie für das Jahr 2013 Fr. 2‘425.25 [jeweils inkl. Verwaltungskosten]; Urk. 10/12-16).</w:t>
      </w:r>
    </w:p>
    <w:p>
      <w:r>
        <w:t>Dagegen erhoben X.___ mit Eingabe vom 22. Dezember</w:t>
      </w:r>
    </w:p>
    <w:p>
      <w:r>
        <w:t>2014 (Urk. 10/ 18) wie auch der Kanton Zürich, vertreten durch die Parlaments dienste des Kantonsrates, mit Eingabe vom 4. Februar 2015 (Urk. 10/20 so wie Ergänzung hiezu vom 24. April 2015; Urk. 10/34) je Einsprache. Mit sepa raten Einspracheentscheiden vom 3. August 2015 setzte die Ausgleichs kasse die für die Jahre 2009 bis 2012 als massgebenden Lohn nachzuer fassenden Entschädigungen bzw. die nachzufordernden Beiträge neu (auf einen höheren Betrag) fest und wies die Einsprache des Kantons Zürich ab (Urk. 2/1) beziehungsweise hiess diejenige von X.___ in diesem Sinne teilweise gut (Urk. 2/2).</w:t>
      </w:r>
    </w:p>
    <w:p>
      <w:r>
        <w:rPr>
          <w:b/>
        </w:rPr>
        <w:t>E. 1.1</w:t>
      </w:r>
    </w:p>
    <w:p>
      <w:r>
        <w:t>Gemäss § 11 Abs. 1 des Gesetzes über das Sozialversicherungsgericht (GSVGer) entscheiden die voll- und teilamtlichen Mitglieder des Gerichts als Einzelrichterinnen und Einzelrichter Streitigkeiten, deren Streitwert Fr. 20‘000.-- nicht übersteigt. In Fällen von grundsätzlicher Bedeutung kann das Verfahren der Kammer zur Behandlung in ordentlicher Besetzung über wiesen werden (§ 11 Abs. 4 GSVGer).</w:t>
      </w:r>
    </w:p>
    <w:p>
      <w:r>
        <w:rPr>
          <w:b/>
        </w:rPr>
        <w:t>E. 1.2</w:t>
      </w:r>
    </w:p>
    <w:p>
      <w:r>
        <w:t>Der Streitwert liegt vorliegend unter der Grenze von Fr. 20’000.--. Doch steht angesichts der Tragweite, welche das vorliegende Verfahren auch für die übrigen Ratsmitglieder hat, ein Fall von grundsätzlicher Bedeutung in Frage. Das Verfahren wird daher an die Kammer überwiesen und das Urteil ergeht mittels Kollegialgerichtsentscheid (vgl. dazu auch Mosimann, in: Zünd/ Pfiffner/ Rauber [Hrsg.], Kommentar zum Gesetz über das Sozialversiche rungs gericht des Kantons Zürich, 2. Auflage, Zürich/Basel/Genf 2009, Rz 7 zu § 11) .</w:t>
      </w:r>
    </w:p>
    <w:p>
      <w:r>
        <w:rPr>
          <w:b/>
        </w:rPr>
        <w:t>E. 2</w:t>
      </w:r>
    </w:p>
    <w:p>
      <w:r>
        <w:t>Gegen diese Einspracheentscheide erhob der Kanton Zürich mit Eingabe vom 14. September 2015 Beschwerde (Urk. 1 im Prozess Nr. AB.2015.00063) und beantragte, es seien die beiden Einspracheentscheide der Beschwerdegegnerin vom 3. August 2015, womit die Einsprache des Beschwerdeführers abge wie sen und die Einsprache des Einsprechers X.___ teilweise gutgeheissen wurden, aufzuheben; unter Kosten- und Entschädigungsfolge zulasten der Beschwerdegegnerin (Urk. 1 S. 2 im Prozess Nr. AB.2015.00063).</w:t>
      </w:r>
    </w:p>
    <w:p>
      <w:r>
        <w:t>Auch X.___ erhob mit Eingabe vom 14. September 2015 Beschwerde (Urk. 1 im Prozess Nr. AB.2015.00064) und beantragte, es sei die Beschwer de gegnerin zu verpflichten, in Abänderung ihrer Verfügungen vom 18. Dezem ber 2014 resp. ihres Einspracheentscheids vom 3. August 2015 die Höhe der AHV-beitragspflichtigen Entschädigungen des Beschwerdeführers neu festzulegen (1.) sowie es sei festzustellen, dass die von der Beschwerde geg nerin bestätigte Praxis des Kantons Zürich, die an die Kantonsräte ausge rich teten Sitzungsgelder nur für den einen Unkostenhöchstansatz von CHF 200 pro Tag übersteigenden Teil als massgeblichen beitragspflichtigen Lohn zu qualifizieren, obwohl zusätzlich eine Spesenpauschale sowie eine Entschädi gung für das ZVV-Abonnement ausgerichtet wird, rechtswidrig ist (2.), unter allfälligen Kosten- und Entschädigungsfolgen zulasten der Beschwer degeg ne rin (3.; Urk. 1 S. 2 im Prozess Nr. AB.2015.00064).</w:t>
      </w:r>
    </w:p>
    <w:p>
      <w:r>
        <w:t>Mit Verfügung vom 25. September 2015 wurden die beiden Verfahren ver einigt; der Prozess Nr. AB.2015.00064 wurde als dadurch erledigt abgeschrie ben und dessen Akten als Urk. 5/0-5 zu den Akten des vorliegenden Pro zesses Nr. AB.2015.00063 genommen (Urk. 6).</w:t>
      </w:r>
    </w:p>
    <w:p>
      <w:r>
        <w:t>Mit Vernehmlassung vom 1. Dezember 2015 stellte die Beschwerdegegnerin Antrag auf Abweisung der Beschwerden (Urk. 9). Dies wurde den Beschwer deführenden mit Verfügung vom 4. Januar 2016 zur Kenntnis gebracht (Urk. 11). Das Gericht zieht in Erwägung: 1.</w:t>
      </w:r>
    </w:p>
    <w:p>
      <w:r>
        <w:rPr>
          <w:b/>
        </w:rPr>
        <w:t>E. 2.1</w:t>
      </w:r>
    </w:p>
    <w:p>
      <w:r>
        <w:t>Nach Art. 5 Abs. 1 und Art. 14 Abs. 1 des Bundesgesetzes über die Alters- und Hinterlassenenversicherung (AHVG) werden vom Einkommen aus unselb 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der Arbeitnehmerin und des Arbeitnehmers, die wirtschaftlich mit dem Arbeits verhältnis zusammenhängen, gleichgültig, ob dieses Verhältnis fortbesteht oder gelöst worden ist und ob die Leistungen geschuldet werden oder frei willig erfolgen. Als beitragspflichtiges Einkommen aus unselbständiger Er werbs 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(BGE 133 V 549 E. 4 S. 558). Gemäss Art. 7 lit. i der Verordnung über die Alters- und Hinterlassenenversicherung (AHVV) gehören zu dem für die Berechnung der Beiträge massgebenden Lohn insbesondere Einkommen der Behördenmit glie der von Bund, Kantonen und Gemeinden.</w:t>
      </w:r>
    </w:p>
    <w:p>
      <w:r>
        <w:rPr>
          <w:b/>
        </w:rPr>
        <w:t>E. 2.2</w:t>
      </w:r>
    </w:p>
    <w:p>
      <w:r>
        <w:t>Als Unkosten, die nicht zum massgebenden Lohn gehören, bezeichnet Art. 9 Abs. 1 AHVV jene Auslagen, die dem Arbeitnehmer bei der Ausführung der Arbeit entstehen. Nach Art. 9 Abs. 2 AHVV sind keine Unkostenentschä di gungen die regelmässigen Entschädigungen für die Fahrt des Arbeitnehmers vom Wohnort zum gewöhnlichen Arbeitsort sowie für die übliche Verpfle gung am Wohnort oder am gewöhnlichen Arbeitsort; sie gehören grundsätz lich zum massgebenden Lohn.</w:t>
      </w:r>
    </w:p>
    <w:p>
      <w:r>
        <w:rPr>
          <w:b/>
        </w:rPr>
        <w:t>E. 2.3</w:t>
      </w:r>
    </w:p>
    <w:p>
      <w:r>
        <w:t>Das Bundesamt für Sozialversicherungen (BSV) hat den Begriff des mass gebenden Lohns und der Unkosten in der Wegleitung über den massgeben den Lohn (WML) konkretisiert (zur Bedeutung von Verwaltungsweisungen im Allgemeinen: vgl. BGE 133 V 587 E. 6.1) und darin auch das Vorgehen zur Ermittlung der Unkosten festgelegt (vgl. WML, gültig ab 1. Januar 2008, St and 1. Januar 2015, Rz 2046 ff. [Sitzungsgelder] sowie Rz 3001 ff. [Unkos ten] und Rz 4003 ff. [Behördenmitglieder]). Danach sind Unkosten bei der Fest setzung des massgebenden Lohnes auszuscheiden (Rz 3009 WML) und grund sätzlich in ihrer tatsächlichen Höhe zu berücksichtigen, wobei die Arbeit gebenden und/oder die Arbeitnehmenden die Unkosten nachzuweisen haben (Rz 3010 WML). Die Anerkennung von Unkosten durch die Steuerbehörden ist für die Ausgleichskasse zwar nicht verbindlich (Rz 3011 WML). Haben Steuerbehörden ein Spesenreglement genehmigt, sollen die Ausgleichskassen diesen Entscheid jedoch übernehmen, sofern dies im Rahmen des AHV-Rechts zulässig ist oder die genehmigten Spesen nicht offensichtlich über setzt sind (Rz 3012 WML ). Ist es nicht möglich, die effektiven Unkosten zu belegen und liegt kein von der zuständigen Steuerbehörde genehmigtes Regle ment vor, ist der Pauschalbetrag, der im Lohnausweis für die Steuer erklärung angegeben ist, als Unkostenersatz zu berücksichtigen, sofern dieser nicht offensichtlich übersetzt ist (Rz 3013 WML). Die Pauschalbeträge müssen</w:t>
      </w:r>
    </w:p>
    <w:p>
      <w:r>
        <w:t>den effektiven Unkosten zumindest gesamthaft gesehen entsprechen (Rz 30 14 WML). Existiert kein von den Steuerbehörden genehmigtes Spesenreglement und rechnen die Arbeitgebenden die Unkosten gegenüber den Steuerbe hör den weder nach Belegen oder in Form von Einzelfallpauschalen ab noch mit Pauschalbeträgen, steht aber fest, dass Unkosten entstanden sind und ist de ren strikter Nachweis nicht möglich, sind die Unkosten von der Ausgleichs kasse zu schätzen (Rz 3016 WML; vgl. Urteil des damaligen Eidgenössischen Ver sicherungsgerichts H 274/03 vom 2. August 2004 E. 4.1; AHI 1996 S. 249 E.</w:t>
      </w:r>
    </w:p>
    <w:p>
      <w:r>
        <w:t>3b mit Hinweisen).</w:t>
      </w:r>
    </w:p>
    <w:p>
      <w:r>
        <w:t>Das Einkommen von Behördenmitgliedern, wozu auch Mitglieder eidgenössi scher, kantonaler oder kommunaler Parlamente gehören (vgl. Rz 4003 WML), kann aus festen Entschädigungen, Taggeldern, Sitzungsgeldern und Sporteln bestehen. Dieses Einkommen gehört zum massgebenden Lohn, soweit es sich nicht um den Ersatz von Unkosten handelt (Rz 4004-4005 WML). In Bezug auf Sitzungsgelder sind Rz 2046 ff. WML sinngemäss anwendbar (Rz 4004 WML). Danach gehören u nter anderem Sitzungsgelder (nach Art. 7 Bst. h AHVV ) grundsätzlich zum massgebenden Lohn. Werden damit auch Unkos ten abgegolten, so können als Unkostenersatz höchstens bis zu Fr. 120.-- für halbtägige Sitzungen und Fr. 200.-- für ganztägige Sitzungen betrachtet werden (Rz 2047 WML); der Unkostenersatz muss den tatsächlich entstan denen Spesen gesamthaft gesehen entsprechen. Die oben erwähnten Ansätze sind also nicht anwendbar, wenn den Sitzungsteilnehmenden keine oder tiefere Unkosten entstehen (Rz 2048 WML). Wird neben dem Sitzungsgeld eine besondere Unkostenvergütung gewährt, so können weitere Unkosten nur berücksichtigt werden, soweit sie nachgewiesen sind (Rz 2049 WML).</w:t>
      </w:r>
    </w:p>
    <w:p>
      <w:r>
        <w:rPr>
          <w:b/>
        </w:rPr>
        <w:t>E. 2.4</w:t>
      </w:r>
    </w:p>
    <w:p>
      <w:r>
        <w:t>In der AHV sind die Beiträge vom Einkommen aus unselbständiger Erwerbs tätigkeit bei jeder Lohnzahlung in Abzug zu bringen und vom Arbeitgeber zusammen mit dem Arbeitgeberbeitrag periodisch zu entrichten ( Art. 14 Abs. 1 AHVG ). Im laufenden Jahr haben die Arbeitgeber periodisch Akonto bei träge zu entrichten. Diese werden von der Ausgleichskasse auf Grund der voraussichtlichen Lohnsumme festgesetzt (Art. 35 Abs. 1 AHVV). Die Ab rech nungsperiode umfasst das Kalenderjahr (Art. 36 Abs. 3 AHVV). Die Aus gleichskasse nimmt den Ausgleich zwischen den geleisteten Akontobeiträgen und den tatsächlich geschuldeten Beiträgen aufgrund der Abrechnung vor. Ausstehende Beiträge sind innert 30 Tagen ab Rechnungsstellung zu bezah len. Überschüssige Beiträge werden von der Ausgleichskasse zurückerstattet oder verrechnet (Art. 36 Abs. 4 AHVV). Erhält eine Ausgleichskasse Kenntnis davon, dass ein Beitragspflichtiger keine Beiträge oder zu niedrige Beiträge bezahlt hat, so hat sie die Nachzahlung der geschuldeten Beiträge zu ver langen und nötigenfalls durch Verfügung festzusetzen. Vorbehalten bleibt die Verjährung nach Art. 16 Abs. 1 AHVG (Art. 39 Abs. 1 AHVV).</w:t>
      </w:r>
    </w:p>
    <w:p>
      <w:r>
        <w:rPr>
          <w:b/>
        </w:rPr>
        <w:t>E. 3.1</w:t>
      </w:r>
    </w:p>
    <w:p>
      <w:r>
        <w:t>Die Entschädigungen der Mitglieder des Kantonsrats Zürich sind im Be schl uss des Kantonsrates vom 26. April 1999 über die Festsetzung der Entschädi gungen für die Mitglieder des Kantonsrates und für die Fraktionen geregelt (LS 171.13, nachfolgend: Entschädigungsbeschluss). Danach beträgt das Sit zungs geld für die Mitglieder des Kantonsrates, der Geschäftsleitung und der Kommissionen Fr. 200.--, wobei die Sitzungen in der Regel nicht länger als vier Stunden dauern (Ziff. 1 Abs. 1 Entschädigungsbeschluss). Zum Sitzungs geld erhalten die Mitglieder des Kantonsrates eine Grundentschädigung von Fr. 4‘000.-- pro Amtsjahr, welche mit dem Sitzungsgeld vierteljährlich ausbe zahlt und bei vorzeitigem Austritt aus dem Rat anteilsmässig ausgerichtet wird (Ziff. 2 Abs. 1 Entschädigungsbeschluss); das Präsidium oder das Vize prä sidium des Kantonsrates, der Geschäftsleitung und der Kommissionen be ziehen das doppelte Sitzungsgeld je Sitzung, in der sie den Vorsitz führen (Ziff. 2 Abs. 2 Entschädigungsbeschluss). Jedem Ratsmitglied wird ein per sönliches Abonnement erster Klasse des Zürcher Verkehrsverbundes für das ganze Verbundgebiet abgegeben (Ziff. 3 Abs. 1 Entschädigungsbeschluss); Rats mitgliedern, die bereits im Besitz eines für das ganze Gebiet des Zürcher Verkehrsverbundes gültigen Abonnements sind oder aus anderen Gründen auf die Abgabe eines Abonnements verzichten, wird an Stelle einer Abonne mentsabgabe der Betrag vergütet, den der Staat für den Bezug des Abonne ments des Zürcher Verkehrsverbundes hätte aufwenden müssen (Ziff. 3 Abs. 2 Entschädigungsbeschluss). Von der Geschäftsleitung bewilligte, amtlich be grün dete Reisen ausserhalb des Gültigkeitsbereichs des Abonnements werden den Ratsmitgliedern gesondert entschädigt (Ziff. 3 Abs. 4 Entschädigungs beschluss ). Den Ratsmitgliedern wird sodann eine Spesenpauschale von Fr. 2‘800.-- je Amtsjahr ausgerichtet. Diese wird zusammen mit dem Sit zungs geld ausbezahlt und bei vorzeitigem Austritt aus dem Rat anteilmässig ausgerichtet (Ziff. 4 Abs. 1 Entschädigungsbeschluss; vgl. zum Ganzen auch Kantonsrat Zürich, Kleines Handbuch, S. 19, online abrufbar).</w:t>
      </w:r>
    </w:p>
    <w:p>
      <w:r>
        <w:rPr>
          <w:b/>
        </w:rPr>
        <w:t>E. 3.2</w:t>
      </w:r>
    </w:p>
    <w:p>
      <w:r>
        <w:t>Die Besteuerung dieser Entschädigungen richtet sich nach der Verfügung der Finanzdirektion des Kantons Zürich vom 1. Oktober 1998 mit Gültigkeit ab der Steuerperiode 1999. Danach sind die den Mitgliedern des Kantonsrates ausgerichteten Entschädigungen wie Sitzungsgelder, Taggelder, Tagespau schalen, Entschädigungen für Protokollführung sowie andere Vergütungen oder Naturalleistungen als Einkommen zu versteuern. Hievon ausgenommen sind Spesenentschädigungen, die sich nach der Höhe von tatsächlichen Aus lagen bemessen (Ziff. I). Als Berufsauslagen vom Einkommen abgezogen wer den können ohne besonderen Nachweis, wenn der Gesamtbetrag der steuer baren Entschädigungen Fr. 8‘000.-- nicht übersteigt, ein Abzug bis zur Höhe des Gesamtbetrages; in allen übrigen Fällen können Fr. 8‘000.-- abge zogen werden, zuzüglich 20 % auf dem Fr. 8‘000.-- übersteigenden Betrag (Ziff. II). Macht ein Steuerpflichtiger geltend, dass die tatsächlichen Auslagen die festgesetzte Pauschale übersteigen, so sind die Berufsauslagen im vollen Umfang nachzuweisen (Ziff. III; vgl. wiederum auch Kantonsrat Zürich, Kleines Handbuch, S. 20).</w:t>
      </w:r>
    </w:p>
    <w:p>
      <w:r>
        <w:rPr>
          <w:b/>
        </w:rPr>
        <w:t>E. 3.3</w:t>
      </w:r>
    </w:p>
    <w:p>
      <w:r>
        <w:t>hievor) – eine ausschliesslich pauschalierte (einheitliche) Unkostenregelung zum Gegenstand hatte. Vielmehr stellt das Abstellen auf die im konkreten Einzel fall im Rahmen der Mandatsausübung entstandenen effektiven Auslagen eine Praxisänderung dar, die jedoch nur zulässig ist, soweit die entsprechenden Voraussetzungen hiefür erfüllt sind. 6.3.3</w:t>
      </w:r>
    </w:p>
    <w:p>
      <w:r>
        <w:t>Im Lichte der erf orderlichen Voraussetzungen (E. 6.2.1 hievor) erscheint das Vorgehen der Beschwerdegegnerin bereits deshalb problematisch, weil sie die neue Bemessungsweise auf die Jahre 2009 bis 2013 und somit auf bereits abgerechnete Beitragsperioden zur Anwendung gebracht hat. Ein solches Vor gehen läuft dem Rückwirkungsverbot zuwider, welches es auch bei Praxis änderungen grundsätzlich zu berücksichtigen gilt (vgl. wiederum E. 6.2.1 hie vor). Die fragliche Praxisänderung erweist sich aber auch insoweit als unstatthaft, als die Beschwerdegegnerin nicht zu erkennen gibt, dass die neue Praxis in Zukunft für alle Ratsmitglieder wegleitend sein soll. De m an den Beschwerdeführer 1</w:t>
      </w:r>
    </w:p>
    <w:p>
      <w:r>
        <w:t>gerichteten Entscheid ist gegenteils zu entnehmen, dass sie (nur) in denjenigen (Zu-)Fällen zur Anwendung gelangen und auf die effektiv entstandenen Auslagen abgestellt werden soll, in welchen die Aus gleichskasse im Einzelfall Kenntnis davon erlangt („Sofern die Ausgleichs kasse im Einzelfall jedoch Kenntnis der tatsächlich entstandenen Spesen erhält, so ist sie verpflichtet, alle die tatsächlichen Spesen übersteigende Ent schädigungen als massgebenden Lohn zu qualifizieren“, Urk. 2 S. 3). Eine auf Einzelfälle beschränkte Praxisänderung ist jedoch nicht nur rückwirkend, sondern auch für die Zukunft mit dem Rechtsgleichheitsgebot unvereinbar, hat die Behörde doch gleiche oder ähnliche Sachverhalte, die in Anwendung der gleichen Normen zu beurteilen sind, nach einheitlichen Kriterien zu entscheiden.</w:t>
      </w:r>
    </w:p>
    <w:p>
      <w:r>
        <w:t>Da die von der Ausgleichskasse mit Schreiben vom 2. Mai 1991 ( Urk. 10/24), 28. August 2002 (Urk. 10/25) und vom 28. Mai 2013 (Urk. 10/26) getroffenen Festlegungen durchaus Zusicherungen über die Rechtmässigkeit der im Rahmen der bisherigen Praxis erstellten Abrechnungen darstellen, machte der Beschwerdeführer 1 aber auch zu Recht geltend, dass einer Beitragsnach for derung für die vorliegend streitige Zeit – ungeachtet deren Rechtmässigkeit i n materieller Hinsicht (vgl. E. 6.5 hienach ) - von vorneherein das Prinzip von Treu und Glauben entgegen steht (vgl. E. 6.1 hievor, zur Anwendung des Prinzips von Treu und Glauben im Bereich der Nachzahlung von Beiträgen vgl. BGE 106 V 139): Denn die Ausgleichskasse hatte die vorerwähnten Schreiben vom 2. Mai 1991, 2 8. August 2002 und vom 2 8. Mai 2013 in einer konkreten Situation mit Bezug auf einen klar umschriebenen Personenkreis verfasst (1.) und sie war für die Erteilung der betreffenden Auskunft zweifel los auch zuständig (2.). Alsdann kann von den Vertretern des Kantons keine umfassendere Kenntnis des AHV-Rechts und der zulässigen Verwaltungs praxis erwartet werden als von der Ausgleichskasse, weshalb der Beschwer de führer 1 die (allfällige) Unrichtigkeit der wiederholten Zusicherungen bezü g lich der Korrektheit des bisherigen Beitragsbezugs auch nicht ohne weiteres erkennen konnte (3.). Weiter hat der Beschwerdeführer 1 die massgebenden Löhne im Vertrauen auf die Korrektheit der Zusicherung unter Berück sichtigung von pauschalen Unkostenentschädigungen abgerechnet; er hat entsprechend davon abgesehen, von den ausgerichteten Entschädigungen höhere Arbeitnehmerbeiträge abzuziehen wie auch Angaben und Belege für effektiv entstandene Aufwendungen einzufordern; dies dürfte im Nachhinein nicht mehr gleichermassen möglich sein (4.). Schliesslich hat die gesetzliche Ordnung keine Änderung erfahren, weshalb auch die fünfte Voraussetzung für die Anwendung des Vertrauensschutzes erfüllt ist. 6.4</w:t>
      </w:r>
    </w:p>
    <w:p>
      <w:r>
        <w:t>Zusammenfassend ergibt sich, dass sich die Nachtragsverfügungen vom 18. Dezember 2014 ungeachtet ihrer materiellen Richtigkeit bereits aus formellen Gründen als unzulässig erweisen, da sie auf einer unzulässigen rückwirkenden Praxisänderung beruhen, welche überdies nur im Einzelfall erfolgt. Zudem widerspricht die Beitragsnachforderung auch dem Vertrauens schutzprinzip .</w:t>
      </w:r>
    </w:p>
    <w:p>
      <w:r>
        <w:t>Die Beschwerde des Beschwerdeführers 1 ist daher gutzuheissen und die Ein spracheentscheide vom 3. August 2015 sind ersatzlos aufzuheben. Die Be schwerde des Beschwerdeführers 2 ist hingegen abzuweisen. Auch wenn mit der Abweisung seiner Beschwerde im Ergebnis eine S ch lech terstellung des Beschwerdeführers 2 resultiert, kann vom vorgängigen</w:t>
      </w:r>
    </w:p>
    <w:p>
      <w:r>
        <w:t>Hinweis auf die Mög l ichkeit eines Beschwerderückzugs abgesehen werden ( Art. 61 lit. d ATSG) : Da auch der Beschwerdeführer 1 (als „Arbeitgeber“) Beschwerde erhoben hat, vermöchte selbst ein allfälliger Beschwerderückzug durch den Beschwerde führer 2 das Verfahren nicht zu beenden und die drohende Schlechterstel lung somit nicht abzuwenden. 6.5</w:t>
      </w:r>
    </w:p>
    <w:p>
      <w:r>
        <w:t>Bei diesem Verfahrensausgang sind die materiellen Vorbringen der Prozess beteiligten nicht weiter zu erörtern und bleibt für eine Feststellung zur Frage der (materiellen) Rechtmässigkeit der bisherigen Verwaltungspraxis , wie der Beschwerdeführer 2 dies beantragt ( vgl. Urk.</w:t>
      </w:r>
    </w:p>
    <w:p>
      <w:r>
        <w:t>5/1 S.</w:t>
      </w:r>
    </w:p>
    <w:p>
      <w:r>
        <w:t>2) , kein Raum .</w:t>
      </w:r>
    </w:p>
    <w:p>
      <w:r>
        <w:t>Ebenso wenig ist zu beantworten, ob die in Frage stehende Praxisänderung – sofern sie überhaupt für alle Ratsmitglieder rechtsgleich zur Anwendung gelangte (vgl. E.</w:t>
      </w:r>
    </w:p>
    <w:p>
      <w:r>
        <w:t>6. 2. 1 hievor) - für die Zukunft zu schützen wäre. Da im Rahmen der Ausübung der Parlamentstätigkeit mit Sicherheit Unkosten entstehen, ein genauer ziffernmässiger Nachweis jedoch kaum je oder nur mit unver hält nis mässigem Aufwand zu bewerkstelligen sein dürfte, bleibt lediglich festzu halten, dass die Berücksichtigung pauschalierter Unkostenentschädigungen jedenfalls nicht von vorneherein unrechtmässig und aus verwaltungsöko no mischen bzw. Praktikabilitätsüberlegungen gerechtfertigt erscheint. Nicht ausser Acht zu lassen ist im vorliegenden Zusammenhang überdies, dass Spesenentschädigungen von Parlamentariern zur Frage stehen. W ie der Be schwerdeführer 1 zu Recht geltend machte , erscheint e ine Pauschalierung der Unkostenentschädigung daher grundsätzlich auch aus Rechtsgleichheits überle gungen geboten, dürfte sie doch dem im Parlamentsrecht allgemein geltenden Grundsatz der strikten Gleichbehandlung der Abgeordneten (vgl. dazu Hauser, Kommentar zur Zürcher Kantonsverfassung, Häner/ Rüssli /</w:t>
      </w:r>
    </w:p>
    <w:p>
      <w:r>
        <w:t>Schwarzenbach [Hrsg . ], Art. 50, Rz 29, vgl. auch BGE 123 I 97 E. 5d) besser Rechnung tragen als die den angefochtenen Entscheiden zugrundeliegende Vorgehensweise, welche dazu führt, dass die aus der Ratstätigkeit zufliessen den beitragspflichtigen Entgelte je nach Einsatz und Aufwand, mit welchem ein Ratsmitglied sein Mandat ausübt, unterschiedlich hoch ausfallen, was nicht ohne weiteres einsichtig und rechtsgleich erscheint.</w:t>
      </w:r>
    </w:p>
    <w:p>
      <w:r>
        <w:t>Ob die</w:t>
      </w:r>
    </w:p>
    <w:p>
      <w:r>
        <w:t>Unkostenpauschalen allenfalls betraglich tiefer (beispielsweise ent sprechend der steuerlichen Regelung [Verfügung der Finanzdirektion vom 1. Oktober 1998]) anzusetzen wären (vgl. dazu auch Rz 3012 WML) oder – neben der ausgerichteten jährlichen Spesenpauschale von Fr. 2‘800.-- (ge m äss Ziff. 4 Abs. 1 Entschädigungsbeschluss) überhaupt grundsätzlich gerecht fertigt sind (vgl. Urk. 5/1 Ziff. 22) - ist vorliegend ebenfalls nicht näher zu prüfen. Z u folgen ist d em Beschwerdeführer 2 immerhin darin , dass die Kumulation von verschiedenen pauschalen Unkostenvergütungen, wie sie der bisherigen Praxis entspricht und von der Verwaltung denn auch selber als „sehr grosszügig“ erachtet wird (vgl. Schreiben vom 2. Mai 1991, Urk. 10/24 S. 3) , im Verhältnis zu den beitragspflichtigen Entgelten zu hoch anmu ten den AHV -beitragsfreien Unkostenentschädigungen führt. Sie erschein en so dann – jedenfalls auf den ersten Blick - auch vor dem Hintergrund der für die Verwaltung verbindlichen Verwaltungsweisungen (vgl. E. 2.3 hievor, insbes. Rz 2047 ff. WML betreffend Unkosten von lediglich Fr. 120.-- für halbtägige Sitzungen) nicht unproblematisch. 7. 7.1</w:t>
      </w:r>
    </w:p>
    <w:p>
      <w:r>
        <w:t>Nach § 34 Abs. 1 GSVGer hat die obsiegende Beschwerde führende Person Anspruch auf Ersatz der Parteikosten. Diese werden ohne Rücksicht auf den Streitwert nach der Bedeutung der Streitsache, der Schwierigkeit des Pro zesses und dem Mass des Obsiegens bemessen ( § 34 Abs. 3 GSVGer) . Den Versicherungsträgern und den Gemeinwesen steht dieser Anspruch nur zu, so weit er von andern Gesetzen nicht ausgeschlossen ist (§ 34 Abs. 2 GSVGer). 7.2</w:t>
      </w:r>
    </w:p>
    <w:p>
      <w:r>
        <w:t>Der Beschwerdeführer 1 ist als Beitragsschuldner nach Art.</w:t>
      </w:r>
    </w:p>
    <w:p>
      <w:r>
        <w:rPr>
          <w:b/>
        </w:rPr>
        <w:t>E. 4.1</w:t>
      </w:r>
    </w:p>
    <w:p>
      <w:r>
        <w:t>Die Ausgleichskasse führte zur Begründung des an den Beschwerdeführer 1 gerichteten Einspracheentscheides im Wesentlichen aus, dass die Unkosten zwar nach bisheriger Praxis pauschal entschädigt worden seien. Jedoch sei die Ausgleichskasse stets davon ausgegangen, dass diese („Sitzungsgelder“) den entstandenen Spesen realistischerweise entsprechen würden. Die Aus gleichs kasse sei an den Grundsatz gebunden, wonach der Unkostenersatz den tatsächlich entstandenen Spesen entsprechen müsse. Dieses Prinzip gelte auch für Sitzungsgelder, die als Unkosten gelten würden, wie auch für alle weiteren Auslagen. Es sei im Grundsatz weiterhin davon auszugehen, dass die Auslagen der einzelnen Kantonsräte erheblich variieren könnten. Sofern die Ausgleichskasse im Einzelfall Kenntnis der tatsächlich entstandenen Spesen erhalte, sei sie verpflichtet, alle die effektiven Spesen übersteigenden Entschädigungen als massgebenden Lohn zu qualifizieren. Das Spesenregle ment der Finanzdirektion des Kantons Zürich sei für sie nicht verbindlich und im vorliegenden Fall schon daher nicht anzuwenden, als es als offen sichtlich übersetzt zu gelten habe. Da die Ausgleichskasse an ihrer bisherigen Praxis festhalte, diese jedoch die Prüfung des Einzelfalles nicht ausschliesse, erweise sich ein Rückkommen auch unter dem Aspekt des Vertrauensschutzes als zulässig (Urk. 2/1). Im Verfahren brachte die Beschwerdegegnerin weiter vor, es ergebe sich, dass eine pauschale Spesenentschädigung von Fr. 8‘000.-- die effektiven Spesen offensichtlich übersteige. Unkosten seien gemäss Weg leitung grundsätzlich in ihrer tatsächlichen Höhe zu berücksichtigen. Sie habe daher von den effektiven Spesen auszugehen. Eine Einzelfallbeurteilung müsse möglich sein (Urk. 9 S. 2).</w:t>
      </w:r>
    </w:p>
    <w:p>
      <w:r>
        <w:t>In dem an den Beschwerdeführer 2 gerichteten Einspracheentscheid hielt die Ausgleichskasse zur Hauptsache fest, dass Parteibeiträge als Spesen auf zurechnen seien, da sie als Ausgaben respektive Unkosten im Zusammen hang mit der Tätigkeit als Kantonsrat zu betrachten seien. Für die Jahre 2009 bis 2012 sei indessen bezüglich der Höhe der Beiträge eine Anpassung vor zunehmen (Urk. 5/2).</w:t>
      </w:r>
    </w:p>
    <w:p>
      <w:r>
        <w:rPr>
          <w:b/>
        </w:rPr>
        <w:t>E. 4.2</w:t>
      </w:r>
    </w:p>
    <w:p>
      <w:r>
        <w:t>mit Hinweisen). Alsdann muss die Änderung grundsätzlich erfolgen, es darf sich nicht bloss um eine singuläre Abweichung handeln, sondern die neue Praxis muss für die Zukunft weg leitend für alle gleichartigen Sachverhalte sein (Urteil des damaligen Eidge nössischen Versicherungsgerichts U 129/05 vom 7. Juni 2006 E. 5.2). Ferner muss das Interesse an der richtigen Rechtsanwendung gegenüber demjenigen an der Rechtssicherheit überwiegen. Sprechen keine entscheidenden Gründe zu Gunsten einer Praxisänderung, ist die bisherige Praxis beizubehalten. Alsdann darf die Praxisänderung keinen Verstoss gegen Treu und Glauben darstellen (zum Ganzen: Häfelin /Müller/Uhlmann, Allgemeines Verwaltungs recht, 7. Auflage, Zürich/St. Gallen 2016, Rz. 589 ff. mit weiteren Hinweisen auf die Rechtsprechung). Eine zulässige neue Praxis ist alsdann grundsätzlich sofort und in allen hängigen Verfahren anzuwenden. Eine rückwirkende An wendung einer neuen Verwaltungspraxis ist grundsätzlich unzulässig (Urteil des Bundesgerichts 2A.339/2003</w:t>
      </w:r>
    </w:p>
    <w:p>
      <w:r>
        <w:t>vom 1 8. Februar 2004 E. 4.1 ; vgl. auch Wieder kehr/ Richli , Praxis des allgemeinen Verwaltungsrechts, Eine systema tische Analyse der Rechtsprechung, Bern 2012, Band I. § 3 Zeitlicher und Räumlicher Geltungsbereich, Ziff. 4 Rz 846, mit Hinweis auch auf Reich/</w:t>
      </w:r>
    </w:p>
    <w:p>
      <w:r>
        <w:t>Uttinger, Praxisänderungen im Lichte der Rechtssicherheit und Rechtsrichtig keit , ZSR 2010, S. 175 ff. ). Unter diesen Voraussetzungen steht eine Praxis änderung zum Grundsatz der Rechtssicherheit und der Rechtsgleichheit nicht in Widerspruch, obwohl jede Änderung der bisherigen Rechtsanwendung zwangsläufig mit einer Ungleichbehandlung der früheren und der neuen Fälle verbunden ist (BGE 125 II 162 E. 4c/aa). 6.2.2</w:t>
      </w:r>
    </w:p>
    <w:p>
      <w:r>
        <w:t>Abgeleitet aus dem Grundsatz von Treu und Glauben ( Art.</w:t>
      </w:r>
    </w:p>
    <w:p>
      <w:r>
        <w:rPr>
          <w:b/>
        </w:rPr>
        <w:t>E. 4.3</w:t>
      </w:r>
    </w:p>
    <w:p>
      <w:r>
        <w:t>Der Beschwerdeführer 2 machte dagegen zur Hauptsache geltend, dass in Bezug auf die direkten Bundessteuern Parteibeiträge resp. Mandatsabgaben rechtsprechungsgemäss keine abzugsfähigen Gewinnungskosten darstellten, was auch für die AHV-rechtliche Behandlung solcher Parteiabgaben zu gelten habe. Weiter resultierten aus der von der Verwaltung geübten Praxis, wonach neben der Anrechnung eines Unkostenersatzes an die Sitzungsgelder zusätzlich eine jährliche pauschale Spesenentschädigung ausgerichtet werde, stark überhöhte Spesenentschädigungen. Auch wenn bei Spesenentschä di gungen im Sinne der Verwaltungsökonomie den Behörden ein gewisser Spiel raum verbleiben müsse, sei mit der AHV-Gesetzgebung nicht vereinbar, zwei Systeme von pauschalen Spesenentschädigungen standardmässig zu kumu lieren und dadurch die AHV-Beitragspflicht systematisch in erheblicher Weise zu umgehen (Urk. 5/1).</w:t>
      </w:r>
    </w:p>
    <w:p>
      <w:r>
        <w:rPr>
          <w:b/>
        </w:rPr>
        <w:t>E. 5</w:t>
      </w:r>
    </w:p>
    <w:p>
      <w:r>
        <w:t>Zwischen den Verfahrensbeteiligten ist zu Recht nicht streitig, dass das dem Beschwerdeführer 2 aus Parlamentstätigkeit zufliessende Entgelt zu dem für die Berechnung der AHV-Beiträge massgebenden Lohn zählt und als solches beitragspflichtig ist, soweit es nicht Ersatz für mit der Ratstätigkeit ver bundene Unkosten darstellt (vgl. Art.</w:t>
      </w:r>
    </w:p>
    <w:p>
      <w:r>
        <w:rPr>
          <w:b/>
        </w:rPr>
        <w:t>E. 9</w:t>
      </w:r>
    </w:p>
    <w:p>
      <w:r>
        <w:t>der Bundesver fassung; BV), welcher den Bürger in seinem berechtigten Vertrauen auf behörd liches Verhalten schützt, können falsche Auskünfte von Verwaltungs be hörden unter bestimmten Voraussetzungen eine vom mate riel len Recht abweichende Behandlung der Rechtsuchenden gebieten. Gemäss Recht spre chung und Doktrin ist dies der Fall, wenn die Behörde in einer konkreten Situation mit Bezug auf bestimmte Personen gehandelt hat (1.), wenn sie für die Erteilung der betreffenden Auskunft zuständig war oder wenn die recht suchende Person die Behörde aus zurei chenden Gründen als zuständig be trach ten durfte (2.), wenn die Person die Unrichtigkeit der Auskunft nicht ohne weiteres erkennen konnte (3.), wenn sie im Vertrauen auf die Richtig keit der Auskunft Dispositionen getroffen hat, die nicht ohne Nachteil rück gän gig gemacht werden können (4.), und wenn die gesetzliche Ordnung seit der Auskunfterteilung keine Änderung erfahren hat (5.; BGE 131 II 627 E. 6.1 , 129 I 161 E. 4.1, 126 II 377 E. 3a, 122 II 113 E. 3b/cc, 121 V 65 E. 2a; RKUV 2000 Nr. KV 126 S. 223).</w:t>
      </w:r>
    </w:p>
    <w:p>
      <w:r>
        <w:t>6.3</w:t>
      </w:r>
    </w:p>
    <w:p>
      <w:r>
        <w:t>6.3.1</w:t>
      </w:r>
    </w:p>
    <w:p>
      <w:r>
        <w:t>Es ist soweit ersichtlich unumstritten, dass sich die beitragsmässige Behand lung der an die Ratsmitglieder ausgerichteten Entschädigungen, namentlich der Sitzungsgelder, für die Amtsperioden ab Mai 1991 nach der pauschalen Regelung richtete, wie sie anlässlich einer Besprechung vom 25. April 1991 zwischen dem Beschwerdeführer 1 und der Beschwerdegegnerin beschlossen und von letzterer mit Schreiben vom 2. Mai</w:t>
      </w:r>
    </w:p>
    <w:p>
      <w:r>
        <w:t>1991 bestätigt worden war (Urk. 10/24). Mit Schreiben vom 28. August 2002 an den Beschwerdeführer 1 – mithin nach Ergehen der steuerlichen Spesenregelung (vgl. ab Steuer per io de 1999 gültige Verfügung der Finanzdirektion vom 1. Oktober 1998) – bestä tigte die Ausgleichskasse, dass die Regelung gemäss Schreiben vom 2. Mai 1991 weiterhin massgeblich sei (Urk. 10/25). Mit Schreiben vom 28. Mai 201 3 nahm die Ausgleichskasse dann gewisse Präzisierungen vor, stellte die bis herige Praxis jedoch nicht in Frage (Urk. 10/26); diese wurde nach unbe strit tener Darstellung des Beschwerdeführers 1 (vgl. Urk. 1 S. 4 Ziff. 3 und S. 10 Ziff. 11) in der Folge unverändert weitergeführt. Alsdann ist weder aufgrund der im Recht liegenden Akten ersichtlich noch wird von der Ausgleichskasse oder dem Beschwerdeführer 2 geltend gemacht oder konkret aufgezeigt, dass die Ausgleichskasse je in Abkehr ihrer bisherigen Vorgehensweise - mit Ausnahme der gleichentags ergangenen Verfügung en im Falle eines weiteren Ratsmitglieds - den massgebenden Lohn eines Ratsmitglieds im Einzelfall unter Berücksichtigung der effektiven Unkosten ermittelt hätte. Mithin er folgte die beitragsrechtliche Behandlung der den Ratsmitgliedern ausge rich teten E ntschädigungen sowohl seitens der Ausgleichskasse wie auch des Be schwerdeführers 1 (als abrechnungspflichtiger Arbeitgeber; vgl. E. 2.4 hievor) seit 1991 aufgrund der im Schreiben vom 2. Mai</w:t>
      </w:r>
    </w:p>
    <w:p>
      <w:r>
        <w:t>1991 festgelegten Pauscha len. In Anbetracht der Zeitspanne von über zwanzig Jahren ist fraglos von einer gefestigten Praxis auszugehen. 6.3.2</w:t>
      </w:r>
    </w:p>
    <w:p>
      <w:r>
        <w:t>Aufgrund des Schreibens des Beschwerdeführers 2 vom 24. September 2014 (Urk. 10/1) ermittelte die Ausgleichskasse dessen – bereits nach der bishe rigen Praxis verabgabten - massgebenden Lohn für die Beitragsjahre 2009 bis 2013 neu; sie stellte dabei - nach getätigten Rückfragen beim Be schwer deführer 2 (Urk. 10/6 und Urk. 10/9 ) – auf die ihm im Rahmen seiner Rats tätigkeit tatsächlich als entstanden deklarierten Auslagen ab. Es ist offen sicht lich, dass dieses Vorgehen nicht der langjährigen, im Schreiben vom 2. Mai</w:t>
      </w:r>
    </w:p>
    <w:p>
      <w:r>
        <w:t>1991 festgehaltenen Verwaltungspraxis entspricht, welche - aus Grün den der Praktikabili t ät u nd Verwaltungsökonomie (vgl. E.</w:t>
      </w:r>
    </w:p>
    <w:p>
      <w:r>
        <w:rPr>
          <w:b/>
        </w:rPr>
        <w:t>E. 14</w:t>
      </w:r>
    </w:p>
    <w:p>
      <w:r>
        <w:t>AHVG vom Entscheid der Ausgleichskasse wie ein privater Arbeitgeber betroffen. Es ist ihm daher eine Prozessentschädigung zuzusprechen, welche – unter Berück sichtigung des Umstandes, dass die Beschwerdeschrift vom 14. September 2015 in weiten Teilen derjenigen im Prozess Nr. AB.2015.00062 entspricht, für welche Aufwendungen bereits eine Prozessentschädigung zugesprochen wurde - mit Fr. 1 ‘ 5 00.-- zu bemessen ist.</w:t>
      </w:r>
    </w:p>
    <w:p>
      <w:r>
        <w:t>Das Gericht erkennt: 1.</w:t>
      </w:r>
    </w:p>
    <w:p>
      <w:r>
        <w:t>In Gutheissung der Beschwerde des Kantons Zürich werden die Einspracheent scheide der Sozialversicherungsanstalt des Kantons Zürich, Ausgleichskasse, vom 3. August 2015 betreffend X.___ aufgehoben .</w:t>
      </w:r>
    </w:p>
    <w:p>
      <w:r>
        <w:t>2.</w:t>
      </w:r>
    </w:p>
    <w:p>
      <w:r>
        <w:t>Die Beschwerde</w:t>
      </w:r>
    </w:p>
    <w:p>
      <w:r>
        <w:t>von X.___ wird abgewiesen. 3.</w:t>
      </w:r>
    </w:p>
    <w:p>
      <w:r>
        <w:t>Das Verfahren ist kostenlos. 4.</w:t>
      </w:r>
    </w:p>
    <w:p>
      <w:r>
        <w:t>Die Beschwerdegegnerin wird verpflichtet, dem Beschwerdeführer 1 eine Prozess entschädigung von Fr. 1‘500.-- (inkl. Barauslagen und MWSt) zu bezahlen. 5.</w:t>
      </w:r>
    </w:p>
    <w:p>
      <w:r>
        <w:t>Zustellung gegen Empfangsschein an: - Rechtsanwalt Jürg Leimbacher - Rechtsanwältin Yolanda Schweri - Sozialversicherungsanstalt des Kantons Zürich, Ausgleichskasse - Bundesamt für Sozialversicherungen sowie an: - Gerichtskasse 6.</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