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AB.2015.00036 vom 31. Mai 2017</w:t>
      </w:r>
    </w:p>
    <w:p>
      <w:r>
        <w:t>ZH Sozialversicherungsgericht, 2017-05-31, DE</w:t>
      </w:r>
    </w:p>
    <w:p>
      <w:r>
        <w:rPr>
          <w:b/>
        </w:rPr>
        <w:t xml:space="preserve">Quelle: </w:t>
      </w:r>
      <w:r>
        <w:t>https://mcp.opencaselaw.ch/entscheid/zh_sozialversicherungsgericht_AB.2015.00036</w:t>
      </w:r>
    </w:p>
    <w:p>
      <w:r>
        <w:t>FR: ZH_SOZIALVERSICHERUNGSGERICHT AB.2015.00036 du 31 mai 2017</w:t>
      </w:r>
    </w:p>
    <w:p>
      <w:r>
        <w:t>IT: ZH_SOZIALVERSICHERUNGSGERICHT AB.2015.00036 del 31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in Z.___ wohnhafte</w:t>
      </w:r>
    </w:p>
    <w:p>
      <w:r>
        <w:t>Y.___ ist Staatsangehöriger von A.___ . Er</w:t>
      </w:r>
    </w:p>
    <w:p>
      <w:r>
        <w:t>ist Inhaber de s</w:t>
      </w:r>
    </w:p>
    <w:p>
      <w:r>
        <w:t>seit April 2014 im Handelsregister des Kantons B.___ ein ge tragenen E inzelunternehm ens C.___ (vgl. Urk. 9/1 S. 12) . Mit Gesuch vom 20.</w:t>
      </w:r>
    </w:p>
    <w:p>
      <w:r>
        <w:t>April 2014 meldete er sich bei der Ausgleichskasse des Kantons B.___ zur Regis t r ierung als Selbständigerwerbender</w:t>
      </w:r>
    </w:p>
    <w:p>
      <w:r>
        <w:t>ab 1. Mai 2014 an ( Urk. 9/1 S.</w:t>
      </w:r>
    </w:p>
    <w:p>
      <w:r>
        <w:rPr>
          <w:b/>
        </w:rPr>
        <w:t>E. 4</w:t>
      </w:r>
    </w:p>
    <w:p>
      <w:r>
        <w:t>Die Beschwerdefüh r erin 1 ist gemäss Eintrag im Handelsregister des Kantons Zürich (www.hra.zh.ch) unter anderem im Bereich Erbringung von</w:t>
      </w:r>
    </w:p>
    <w:p>
      <w:r>
        <w:t>Projekt leistungen ,</w:t>
      </w:r>
    </w:p>
    <w:p>
      <w:r>
        <w:t>insbesondere von Auftrags- und Werkleistungen im IT – und Engineering-Umfeld, tätig. A ls IT- Spezialist wurde der Beschwerdeführer 2 von ihr bei der Durchführung von IT - Projektverträgen zwischen ihr und ihren Kunden (a ls “ Subunternehmer“) eingesetzt , wo er</w:t>
      </w:r>
    </w:p>
    <w:p>
      <w:r>
        <w:t>i m</w:t>
      </w:r>
    </w:p>
    <w:p>
      <w:r>
        <w:t>Namen der Beschwerdeführerin 1</w:t>
      </w:r>
    </w:p>
    <w:p>
      <w:r>
        <w:t>Projektle istungen im Bereich der Informationstech no logie (IT) erbrachte . D ie Zusammenarbeit</w:t>
      </w:r>
    </w:p>
    <w:p>
      <w:r>
        <w:t>war zum einen in</w:t>
      </w:r>
    </w:p>
    <w:p>
      <w:r>
        <w:t>Rahmenverträgen</w:t>
      </w:r>
    </w:p>
    <w:p>
      <w:r>
        <w:t>geregelt , worin die Grundlagen der Zusamme n arbeit und die daraus entstehenden Rech te und Pflichten fe s tgehalten</w:t>
      </w:r>
    </w:p>
    <w:p>
      <w:r>
        <w:t>worden waren (vgl. im Wesent lichen gleichlautende Rahmenverträge vom 4. Oktober 2013 und vom 26. Juli 2014; Urk. 9/1 S. 13 ff. sowie S. 32 ff. ) . Sie basierte</w:t>
      </w:r>
    </w:p>
    <w:p>
      <w:r>
        <w:t>z um andern auf Proj e k teinzelverträge n ( vom 20. Oktober 2013 und vom 26. Juli 2014 ; vgl. Urk. 9/1 S.</w:t>
      </w:r>
    </w:p>
    <w:p>
      <w:r>
        <w:t>20 f und S.</w:t>
      </w:r>
    </w:p>
    <w:p>
      <w:r>
        <w:t>41</w:t>
      </w:r>
    </w:p>
    <w:p>
      <w:r>
        <w:t>ff. ) ,</w:t>
      </w:r>
    </w:p>
    <w:p>
      <w:r>
        <w:t>in welchen der jeweilige Leistungsauftrag ko n k re t umschrieben und dessen Modalität en festgehalten wurden . Aus den Projekteinzelverträgen</w:t>
      </w:r>
    </w:p>
    <w:p>
      <w:r>
        <w:t>geht hervor , da ss der Beschwerdeführer 2 beauftragt worden war , ab Oktober 2013</w:t>
      </w:r>
    </w:p>
    <w:p>
      <w:r>
        <w:t>jeweils für befristete Zeit die E.___ AG in F.___</w:t>
      </w:r>
    </w:p>
    <w:p>
      <w:r>
        <w:t>vor Ort</w:t>
      </w:r>
    </w:p>
    <w:p>
      <w:r>
        <w:t>bei der Entwicklung einer Software für Laser Markiergeräte zu unterstützen . Der Arbeitsaufwand wurde auf maximal 1920 Stunden (Projekt einzel vertrag vom 20. Oktober 2013, Urk. 9/1 S.</w:t>
      </w:r>
    </w:p>
    <w:p>
      <w:r>
        <w:t>21 ) bzw .</w:t>
      </w:r>
    </w:p>
    <w:p>
      <w:r>
        <w:t>maximal 669.58 Stunden ( Projekt einzelvertrag vom 26. Jul i 2014; Urk. 9/1 S. 43 )</w:t>
      </w:r>
    </w:p>
    <w:p>
      <w:r>
        <w:t>geschätzt , wobei der Beschwerdeführer 2 mit Fr. 105. -- pro Stunde (einschliesslich Spesen) entschädigt wurde .</w:t>
      </w:r>
    </w:p>
    <w:p>
      <w:r>
        <w:t>Weiter ist aus den Akten ersichtlich, dass die se Zusammenarbeit in der Folge jedenfalls</w:t>
      </w:r>
    </w:p>
    <w:p>
      <w:r>
        <w:t>bis zum 9. Oktober 2015</w:t>
      </w:r>
    </w:p>
    <w:p>
      <w:r>
        <w:t>verlä ngert wurde (vgl. Ausführungen in den Beschwerden , Urk.</w:t>
      </w:r>
    </w:p>
    <w:p>
      <w:r>
        <w:t>1 und Urk. 5/1 je Ziff.</w:t>
      </w:r>
    </w:p>
    <w:p>
      <w:r>
        <w:rPr>
          <w:b/>
        </w:rPr>
        <w:t>E. 4.27</w:t>
      </w:r>
    </w:p>
    <w:p>
      <w:r>
        <w:t>; vgl. auch E. 2.3 hievor ). 5.3</w:t>
      </w:r>
    </w:p>
    <w:p>
      <w:r>
        <w:t>Soweit die Beschwerdegegnerin</w:t>
      </w:r>
    </w:p>
    <w:p>
      <w:r>
        <w:t>darauf hinweist ,</w:t>
      </w:r>
    </w:p>
    <w:p>
      <w:r>
        <w:t>dass der Beschwerdeführer 2 gemäss dem Rahmenvertrag das besondere Vertrauen der Beschwerdefüh re rin</w:t>
      </w:r>
    </w:p>
    <w:p>
      <w:r>
        <w:t>1 geniesse ( § 2/4 des Rahmenvertrages) und E rsterer die Interessen der Kunden zu berücksichtigen habe ( § 2/2 des Rahmenvertrages) , sowie dass die „Diensterfindungen“ der Beschwerdefüh r erin 1 gehörten ( §</w:t>
      </w:r>
    </w:p>
    <w:p>
      <w:r>
        <w:rPr>
          <w:b/>
        </w:rPr>
        <w:t>E. 6</w:t>
      </w:r>
    </w:p>
    <w:p>
      <w:r>
        <w:t>). 5. 5.1</w:t>
      </w:r>
    </w:p>
    <w:p>
      <w:r>
        <w:t>Die Ausgleichskasse hat die angefochtenen Einspracheentscheide unter ande rem damit begründet, dass kein spezifisches Unternehmerrisiko erkenn bar sei. Doch kan n , nachdem vorliegend IT-Dienstleistungen in Frage stehen, nach der oben (E.</w:t>
      </w:r>
    </w:p>
    <w:p>
      <w:r>
        <w:t>2.2 hievor ) dargestellten Praxis im vorliegenden Fall nicht ent scheidend sein , dass das unternehmerische Risiko des Beschwerdeführers 2 nicht als erheblich einzuschätzen ist , was daher r ü hrt ,</w:t>
      </w:r>
    </w:p>
    <w:p>
      <w:r>
        <w:t>da ss</w:t>
      </w:r>
    </w:p>
    <w:p>
      <w:r>
        <w:t>er weder über eigene Geschäftsräumlichkeiten verfügt</w:t>
      </w:r>
    </w:p>
    <w:p>
      <w:r>
        <w:t>noch Angestellte beschäf tigt und mithin keine ins Gewicht fallenden Investitionen auszumachen sind . Ein gewisses u nternehmerisches Risiko bestand immer h in: so bezog sich die Tätig keit auf zeitlich befristet e – wenn auch später v erlängerte – Projekt e , wobei jeweils kein Anspruch auf Abschluss eines weiteren Auftrages bzw. Projekteinzelvertrages bestand ( vgl. §</w:t>
      </w:r>
    </w:p>
    <w:p>
      <w:r>
        <w:t>1 /1 des Rahmenvertrages) . Weiter war die Vergütung nur für tatsächlich erbrachte Leistungen geschuldet ,</w:t>
      </w:r>
    </w:p>
    <w:p>
      <w:r>
        <w:t>wohin gegen</w:t>
      </w:r>
    </w:p>
    <w:p>
      <w:r>
        <w:t>während Abwesenheiten infolge Urlaub, Krankheit und Arztbesuche n kein Entschädigungsanspruch bestand ( vgl. § 3/</w:t>
      </w:r>
    </w:p>
    <w:p>
      <w:r>
        <w:rPr>
          <w:b/>
        </w:rPr>
        <w:t>E. 7</w:t>
      </w:r>
    </w:p>
    <w:p>
      <w:r>
        <w:t>des Rahmenver trages ) ,</w:t>
      </w:r>
    </w:p>
    <w:p>
      <w:r>
        <w:t>ergibt dies entgegen ihrer Auffassung (vgl. angefochtene Entscheide je Ziff. 7) nichts zugunsten einer unselbständigen Erwerbstät i gke i t . So be steht auch ein Auftragsverhältni s</w:t>
      </w:r>
    </w:p>
    <w:p>
      <w:r>
        <w:t>nic h t losgelöst von einem Vertrauensverhältnis und haben</w:t>
      </w:r>
    </w:p>
    <w:p>
      <w:r>
        <w:t>auch</w:t>
      </w:r>
    </w:p>
    <w:p>
      <w:r>
        <w:t>S elbständigerwerbende , die im Rahmen eines Auftrages tätig werden , (auftragsrechtliche) Sorgfalts- und Treuepflichten zu beachten (vgl.</w:t>
      </w:r>
    </w:p>
    <w:p>
      <w:r>
        <w:t>Art. 398 des Schweizerischen Obligationenrechts, OR ) . Ebenso existiert auch im Auftragsverhältnis eine Herausgabepflicht , ist doch auch dort der Beauf tragte schuldig, auf Verlangen nicht nur jederzeit über seine Geschäfts füh rung Rechenschaft abzulegen , sondern auch alles zu erstatten , was ihm in folge derselben aus irgende inem Grunde zugekommen ist</w:t>
      </w:r>
    </w:p>
    <w:p>
      <w:r>
        <w:t>( Art. 400 Abs. 1 OR ) .</w:t>
      </w:r>
    </w:p>
    <w:p>
      <w:r>
        <w:t>Zu folgen ist der Ve rw altung allerdings insoweit , dass Merkmale einer un selb ständige n Erwerbstätigkeit insofern vorliegen, als ein g e wisses</w:t>
      </w:r>
    </w:p>
    <w:p>
      <w:r>
        <w:t>b etri e bs wirtschaftliches Abhäng ig keitsverhältnis bestand , da der B eschwerdeführer 2 - soweit ersichtlich</w:t>
      </w:r>
    </w:p>
    <w:p>
      <w:r>
        <w:t>- während der Dauer de s Projektes bei der E.___ AG ausschliesslich oder jedenfal l s weitestgehend für die Beschwerdeführerin 1 tätig war .</w:t>
      </w:r>
    </w:p>
    <w:p>
      <w:r>
        <w:t>Allerdings</w:t>
      </w:r>
    </w:p>
    <w:p>
      <w:r>
        <w:t>befand er sich in der Anfangs phase seiner erwerblichen Tätigkeit in der Schweiz und war ihm eine Tätig keit für weitere Auftraggeber vertraglich nicht grundsätzlich untersagt (vgl. auch Urk. 1 Ziff. 56) ; vielmehr war er auch bei weiteren Auftraggebern um Aufträge bemüht (vgl. Angaben im Gesuch Urk. 9/1 S. 8 sowie Urk. 9/1 S. 26) . Soweit sich der Beschwerdeführer 2</w:t>
      </w:r>
    </w:p>
    <w:p>
      <w:r>
        <w:t>einzig ve rpflichtet hatte , für eine gewisse Dauer nicht für Kunden der Beschwerdeführerin 1 tätig zu sein ( vgl.</w:t>
      </w:r>
    </w:p>
    <w:p>
      <w:r>
        <w:t>§</w:t>
      </w:r>
    </w:p>
    <w:p>
      <w:r>
        <w:rPr>
          <w:b/>
        </w:rPr>
        <w:t>E. 11</w:t>
      </w:r>
    </w:p>
    <w:p>
      <w:r>
        <w:t>des Rahmenvertrages ) kann zwar im betref fenden „ Abwerbeverbot “ (vgl. Urk. 1 und Urk.</w:t>
      </w:r>
    </w:p>
    <w:p>
      <w:r>
        <w:t>5/1 Ziff. 54 ff.) d urchaus ein</w:t>
      </w:r>
    </w:p>
    <w:p>
      <w:r>
        <w:t>Konkurrenz verbot erblickt werden; d ieses ist jedoch eng begrenzt. Dass</w:t>
      </w:r>
    </w:p>
    <w:p>
      <w:r>
        <w:t>d er Beschwerdeführer 2</w:t>
      </w:r>
    </w:p>
    <w:p>
      <w:r>
        <w:t>gegen über den Endkunden im Namen der Beschwerdeführerin 1 auftrat , deutet</w:t>
      </w:r>
    </w:p>
    <w:p>
      <w:r>
        <w:t>schliess lich zwar eher</w:t>
      </w:r>
    </w:p>
    <w:p>
      <w:r>
        <w:t>auf unselbständige Erwerbstätigkeit hin , steht einer selbständigen Erwerbstätigkeit ( v or allem als Subunternehmer) jedoch nicht zwingend entgegen. 5 .4</w:t>
      </w:r>
    </w:p>
    <w:p>
      <w:r>
        <w:t>Wo Merkmale beider Erwerbsarten zutage treten, muss sich der Entscheid danach richten, welche dieser Merkmale im kon kreten Fall überwiegen (vgl. E . 2.1</w:t>
      </w:r>
    </w:p>
    <w:p>
      <w:r>
        <w:t>hievor ). Nach dem Gesagten und nachdem vorliegend mit Blick auf die infrage stehende Dienstleistungstätigkeit das Unterscheidungsmerkmal des Unternehmerrisikos nicht entscheidend ist ,</w:t>
      </w:r>
    </w:p>
    <w:p>
      <w:r>
        <w:t>stehen die Merkmale , die für das Vorliegen einer selbstständigen Erwerbstätigkeit sprechen - insbesondere die weit est gehende Unab hängigkeit in arbeitsorganisatorischer Hinsicht – deut lich im Vordergrund. Weitergehende Abklärungen wie auch die Durchfüh rung einer Verhandlung (im Sinne einer Beweisverhandlung sowie zwecks persönlicher Darlegung des Standpunkts der Beschwerdeführenden , vgl. Beschwerdeeingaben je Ziff. 95 ) sind daher nicht erforderlich. Damit ist der Beschwerdeführer 2 für die fragliche Tätigkeit bei der Beschwerdeführerin 1 als S elbständigerwe r bender zu qualifizieren.</w:t>
      </w:r>
    </w:p>
    <w:p>
      <w:r>
        <w:t>5.5</w:t>
      </w:r>
    </w:p>
    <w:p>
      <w:r>
        <w:t>Diese Erwägungen führen zur Gutheissung der Beschwerden mit der Folge, dass die angefochtenen Einspracheentscheide vom 1 3. Mai 2015 aufzuheben sind und festzustellen ist, dass der Beschwerdeführer 2 für seine in den vorliegenden Verträgen geregelte Tätigkeit für die Beschwerdeführer in 1 als selb stän dig Erwerbender zu gelten hat. 6 .</w:t>
      </w:r>
    </w:p>
    <w:p>
      <w:r>
        <w:t>6 .1</w:t>
      </w:r>
    </w:p>
    <w:p>
      <w:r>
        <w:t>Ausgangsgemäss steht den Beschwerdeführenden eine Prozessentschädigung zu, die gemäss Art. 61 lit . g des Bundesgesetzes über den Allgemeinen Teil des Sozialversicherungsrechts in Verbindung mit § 34 des Gesetzes über das Sozialversicherungsgericht ohne Rücksicht auf den Streitwert nach der Bedeu tung der Streitsache, nach der Schwierigkeit des Prozesses, dem Zeitaufwand und den Barauslagen zu bemessen ist . 6 .2</w:t>
      </w:r>
    </w:p>
    <w:p>
      <w:r>
        <w:t>Bei der nach diesen Kriterien in Anwendung des gerichtsüblichen Entschädi gungsa nsatzes von Fr.</w:t>
      </w:r>
    </w:p>
    <w:p>
      <w:r>
        <w:t>220. -- (zuzüglich Mehrwertsteuer) pro Stunde zu be messende n Prozessentschädigung ist zu berücksichtigen, dass die Be schwer de eingaben der durch die nämliche Rechtsvertretung ve r tretenen Be schwer de führenden weitestgehend identisch sind .</w:t>
      </w:r>
    </w:p>
    <w:p>
      <w:r>
        <w:t>S omit ist der massge bende Aufwand nur einmal angefallen .</w:t>
      </w:r>
    </w:p>
    <w:p>
      <w:r>
        <w:t>Es rechtfertigt sich daher , die</w:t>
      </w:r>
    </w:p>
    <w:p>
      <w:r>
        <w:t>jeweil i ge</w:t>
      </w:r>
    </w:p>
    <w:p>
      <w:r>
        <w:t>Prozessent s c hädigung</w:t>
      </w:r>
    </w:p>
    <w:p>
      <w:r>
        <w:t>auf</w:t>
      </w:r>
    </w:p>
    <w:p>
      <w:r>
        <w:t>je Fr. 1‘ 9 00. -- (inkl. Barauslagen und Mehrwertsteuer) festzu setzen. Das Gericht erkennt: 1.</w:t>
      </w:r>
    </w:p>
    <w:p>
      <w:r>
        <w:t>In Gutheissung der Beschwerden werden die Einspracheentscheide der Sozialver sicherungsanstalt des Kantons Zürich, Ausgleichskasse, vom 1 3. Mai 2015 aufge hoben mit der Feststellung, dass der Beschwerdeführer 2 für seine Tätigkeit für die Beschwerdeführerin 1 als selbständig Erwerbender zu qualifizieren ist. 2.</w:t>
      </w:r>
    </w:p>
    <w:p>
      <w:r>
        <w:t>Das Verfahren ist kostenlos. 3.</w:t>
      </w:r>
    </w:p>
    <w:p>
      <w:r>
        <w:t>Die Beschwerdegegnerin wird verpflichtet, den Beschwerdeführenden eine Prozess entschädigung von je Fr. 1‘ 9 00 .-- (inkl. Barauslagen und MWSt) zu bezahlen. 4.</w:t>
      </w:r>
    </w:p>
    <w:p>
      <w:r>
        <w:t>Zustellung gegen Empfangsschein an: - Rechtsanwalt Dr. Nicolas Passadelis und/oder Rechtsanwalt Patrick Schmid - Sozialversicherungsanstalt des Kantons Zürich, Ausgleichskasse - Bundesamt für Sozialversicherungen sowie an: - Gerichtskasse 5.</w:t>
      </w:r>
    </w:p>
    <w:p>
      <w:r>
        <w:t>Gegen diesen Entscheid kann innert 30 Tagen seit der Zustellung beim Bundes gericht Beschwerde eingereicht werden ( Art. 82 ff. in Verbindung mit Art. 90 ff. des Bundesgesetzes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VorsitzendeDie Gerichtsschreiberin GräubBachmann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