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AB.2015.00009 vom 16. November 2015</w:t>
      </w:r>
    </w:p>
    <w:p>
      <w:r>
        <w:t>ZH Sozialversicherungsgericht, 2015-11-16, DE</w:t>
      </w:r>
    </w:p>
    <w:p>
      <w:r>
        <w:rPr>
          <w:b/>
        </w:rPr>
        <w:t xml:space="preserve">Quelle: </w:t>
      </w:r>
      <w:r>
        <w:t>https://mcp.opencaselaw.ch/entscheid/zh_sozialversicherungsgericht_AB.2015.00009</w:t>
      </w:r>
    </w:p>
    <w:p>
      <w:r>
        <w:t>FR: ZH_SOZIALVERSICHERUNGSGERICHT AB.2015.00009 du 16 novembre 2015</w:t>
      </w:r>
    </w:p>
    <w:p>
      <w:r>
        <w:t>IT: ZH_SOZIALVERSICHERUNGSGERICHT AB.2015.00009 del 16 novembre 2015</w:t>
      </w:r>
    </w:p>
    <w:p>
      <w:pPr>
        <w:pStyle w:val="Heading2"/>
      </w:pPr>
      <w:r>
        <w:t>Erwägungen</w:t>
      </w:r>
    </w:p>
    <w:p>
      <w:r>
        <w:rPr>
          <w:b/>
        </w:rPr>
        <w:t>E. 1</w:t>
      </w:r>
    </w:p>
    <w:p>
      <w:r>
        <w:t>Der 1944 geborene X.___ war jahrelang als Geschäftsführer der</w:t>
      </w:r>
    </w:p>
    <w:p>
      <w:r>
        <w:t>familieneigene n</w:t>
      </w:r>
    </w:p>
    <w:p>
      <w:r>
        <w:t>Y.___ AG un selbstständig erwerbstätig und ist gemäss Eintrag i m Handelsregister des Kantons Zürich seit 2009 Verwaltungs ratspräsident</w:t>
      </w:r>
    </w:p>
    <w:p>
      <w:r>
        <w:t>dieser Gesellschaft . Er übte daneben</w:t>
      </w:r>
    </w:p>
    <w:p>
      <w:r>
        <w:t>gemäss Eintrag im Handelsre gister von 1989 bis im Jahr 2013 auch eine selbstständig e Erwerbstätigkeit in der Baubranche aus ( Immo bilien- und Bauberatung ). Mit sieben Verfügung en vom 18. August 2010 forderte die Ausgleichskasse Zürcher Arbeitgeber von X.___</w:t>
      </w:r>
    </w:p>
    <w:p>
      <w:r>
        <w:t>für die Jahre</w:t>
      </w:r>
    </w:p>
    <w:p>
      <w:r>
        <w:t>2001 bis 2007 persönliche Bei träge in Höhe von insgesamt Fr. 213‘509.60 (Urk. 6/18 /1 ) . Den Beitragsverfügungen lagen die Steuermeldungen des Steueramtes des Kantons Zürich, A bteilu ng D irekte Bun dessteuer, vom 2. August 2010 zugrunde, mit welchen dieses der Ausgleichs kasse für die fraglichen Jahre E in künfte aus selbstständig er Erwerbst ätigkeit (Ertrag aus Geschäftsliegenschaften) sowie im Betrieb arbeitendes eigenes Kapital gemeldet hatte (Urk.</w:t>
      </w:r>
    </w:p>
    <w:p>
      <w:r>
        <w:t>6/19 ). Eine am 14. September 2010 gegen diese Verfügungen erhobene Einsprache (Urk. 6/18) wies die Ausgleichskasse nach Rückfrage beim Kantonalen Steueramt mit Einspracheentscheid vom 21. Juni 2011 ab (Urk. 6/13). Eine gegen diesen Entscheid erhobene Beschwerde hiess das hiesige Gericht mit Urteil vom 25. Januar 2012</w:t>
      </w:r>
    </w:p>
    <w:p>
      <w:r>
        <w:t>in dem Sinne gut , als es den angefochtenen Einspracheentscheid aus formellen Gründen (Verletzung des rechtlichen Gehörs)</w:t>
      </w:r>
    </w:p>
    <w:p>
      <w:r>
        <w:t>aufhob und die Sache zur erneuten Durchführung des V er fahrens unter ausreichender Wahrung des rechtlichen Gehörs</w:t>
      </w:r>
    </w:p>
    <w:p>
      <w:r>
        <w:t>sowie zum neuer lichen Entscheid zurückwies (Urk.</w:t>
      </w:r>
    </w:p>
    <w:p>
      <w:r>
        <w:t>6/9). Nach Gewährung des rechtlichen Gehörs (Urk. 6/6-7) erliess die Ausgleichskasse am 1.</w:t>
      </w:r>
    </w:p>
    <w:p>
      <w:r>
        <w:t>Oktober 20</w:t>
      </w:r>
    </w:p>
    <w:p>
      <w:r>
        <w:rPr>
          <w:b/>
        </w:rPr>
        <w:t>E. 4</w:t>
      </w:r>
    </w:p>
    <w:p>
      <w:r>
        <w:t>betreffend die Bei tragsjahre 2001 bis 2007 eine neuerliche Verfügung, mit welcher sie die jenigen vom 18. August 2010 bestätigte (Urk. 6/4) . Die dagegen erhobene Einsprache vom 3. November 2014 (Urk. 6/3) wies die Ausgleichskasse mit Einspracheent scheid vom 11. Februar 2015 ab (Urk. 2) .</w:t>
      </w:r>
    </w:p>
    <w:p>
      <w:r>
        <w:t>2.</w:t>
      </w:r>
    </w:p>
    <w:p>
      <w:r>
        <w:t>Dagegen lässt X.___ hierorts am 16. März 2015 Beschwerde erhe ben (Urk. 1) mit dem Rechtsbegehren , es sei keine Beitragserhebung auf dem Ertrag der angeblichen Geschäftsliegenschaften vorzunehmen; unter Kosten- und Entschädigungsfolgen zulasten der Beschwerd egegnerin ( Urk. 1 S. 2) . Mit Beschwerdeantwort vom 20. April 2015 beantragte die Ausgleichskasse in materieller Hinsicht die Abweisung der Beschwerde und stellte in verfahrens rechtlicher Hinsicht Antrag auf Beiladung der Steuerbehörde zum vorliegenden Prozess ( Urk.</w:t>
      </w:r>
    </w:p>
    <w:p>
      <w:r>
        <w:rPr>
          <w:b/>
        </w:rPr>
        <w:t>E. 4.1</w:t>
      </w:r>
    </w:p>
    <w:p>
      <w:r>
        <w:t>I n tatsächlicher Hinsicht ist zwischen den Parteien unbestritten, dass</w:t>
      </w:r>
    </w:p>
    <w:p>
      <w:r>
        <w:t>es sich bei den in E.</w:t>
      </w:r>
    </w:p>
    <w:p>
      <w:r>
        <w:t>3 . 1 erwähnten Liegenschaften durchwegs um Wohnliegenschaften handelt .</w:t>
      </w:r>
    </w:p>
    <w:p>
      <w:r>
        <w:t>Ebenso steht ausser Frage, dass diese durch den Beschwerdeführer in un möb i liert em Zustand vermietet werden ( Urk. 1 S. 3) .</w:t>
      </w:r>
    </w:p>
    <w:p>
      <w:r>
        <w:rPr>
          <w:b/>
        </w:rPr>
        <w:t>E. 4.2</w:t>
      </w:r>
    </w:p>
    <w:p>
      <w:r>
        <w:t>Wie die Beschwerd e gegnerin selber ausführt ( vgl. etwa Verfügung vom 1. Oktober 2014 ; vgl. Urk. 6/4 )</w:t>
      </w:r>
    </w:p>
    <w:p>
      <w:r>
        <w:t>hat d er Beschwerdeführer</w:t>
      </w:r>
    </w:p>
    <w:p>
      <w:r>
        <w:t>keine der seit 1984 erworbenen bzw . ihm infolge Erbgang es zugegangenen</w:t>
      </w:r>
    </w:p>
    <w:p>
      <w:r>
        <w:t>Liegenschaften je ver kauft . Dass Anstrengungen erfolgt wären, Liegenschaften gewinnbringend wei terzuveräussern , wird trotz entsprechender allgemeiner Erwägungen zum Lie genschaftenhandel</w:t>
      </w:r>
    </w:p>
    <w:p>
      <w:r>
        <w:t>in der Verfügung vom 1. Oktober 2014 alsdann auch von der B e schwerdegegnerin nicht geltend gemacht. Diesbezügliche Anhaltspunkte enthalten auch die A kten nicht . Demnach ist davon auszugehen, dass sich der Beschwerdeführer – wie er geltend macht - darauf beschränkte, die von ihm erworbenen Liegenschaften zu vermieten und zu verwalten b zw. im Rahmen seines (umfangreichen) Vermögens zu halten ( Urk. 1 S. 11) . D ie Qualifikation der streitbetroffenen Liegenschaften als Geschäftsvermögen wegen</w:t>
      </w:r>
    </w:p>
    <w:p>
      <w:r>
        <w:t>Liegen schaft s handel</w:t>
      </w:r>
    </w:p>
    <w:p>
      <w:r>
        <w:t>fällt somit ausser Betracht .</w:t>
      </w:r>
    </w:p>
    <w:p>
      <w:r>
        <w:t>Z u prüfen bleibt, ob allenfalls andere Umstände vorliegen , welche die Annahme rechtfertigen, es liege eine über die blosse Vermögensverwaltung hinausreichende erwerbliche Tätigkeit vor .</w:t>
      </w:r>
    </w:p>
    <w:p>
      <w:r>
        <w:rPr>
          <w:b/>
        </w:rPr>
        <w:t>E. 4.3</w:t>
      </w:r>
    </w:p>
    <w:p>
      <w:r>
        <w:t>F ragen der beitragsrechtlichen Qualifikation entscheiden sich nach den konkre ten wirtschaftlichen Gegebenheiten. Liegenschaften bilden Alternativgüter, das heisst sie können sowohl zum Geschäfts- wie zum Privatvermögen gehören (Urteil des Bundesgerichts 9C_86/2009 vom 30. Juni 2010 E. 4.3 mit Hinwei sen). Nach der Rechtsprechung stellt die Vermietung von (unmöblierten) Woh nungen eines so genannten Renditenhauses Vermögensverwaltung dar, wenn und soweit diese Tätigkeit sich auf die Erzielung der Erträgnisse des Vermö gensobjekts an sich beschränkt und nicht betrieblichen Charakter hat (BGE 111 V 83 E. 2a, 110 V 86 E. 5a, je mit Hinweisen; ZAK 1987 S. 519 E. 3a mit Hin weisen). Gleich verhält es sich mit der Vermietung von Geschäftsräumlichkei ten . Dage gen erhält die Vermietertätigkeit dann betrieblichen Charakter, wenn sie die blosse Gebäudeverwaltung übersteigt (BGE 110 V 86 E. 5a; ZAK 1987 S.</w:t>
      </w:r>
    </w:p>
    <w:p>
      <w:r>
        <w:t>519 E. 3a).</w:t>
      </w:r>
    </w:p>
    <w:p>
      <w:r>
        <w:t>N ach der (steuerrechtlichen ) Praxis des Bundesgerichts gehört die Vermietung eigener Liegenschaften ausgesprochen zur üblichen Verwaltung privaten (Anlage-) Vermögens und bei der Annahme, sie sei Gegenstand eines geschäftlichen Betriebes (mithin einer selbstständig en Erwerbstätigkeit), ist grösste Zurück haltung geboten. Der Eigentümer, der seine Liegenschaft(en) mit Wohn- oder Geschäftsbauten überbaut, um aus deren Vermietung einen Ertrag zu erzielen, verwaltet normalerweise privates Vermögen. Das Vermieten von Wohnblöcken gilt als Vermögensverwaltung, auch wenn der Vermieter die Wohnungen instandhalten und nötigenfalls neue Mieter suchen muss. Auch bei einer Liegenschaft mit rund 30 Wohnungen handelt es sich nach der Rechtspre chung um private Vermögensverwaltung, wenn sich der Eigentümer - ohne Verkaufs bemühungen - darauf beschränkt, die Wohnungen zu verwalten, um daraus regelmäs siges Einkommen zu erzielen. Auch wird die Vermietung eige ner Liegenschaften nicht allein dadurch zu einem Geschäftsbetrieb, weil das zu verwaltende Vermögen umfangreich ist, so dass der Eigentümer eine in Beilage kaufmännische Buch haltung führt (vgl. Urteil des Bundesgerichts 2A.52/2003 vom 23. Januar 2004, E. 2.5, mit Hinweisen).</w:t>
      </w:r>
    </w:p>
    <w:p>
      <w:r>
        <w:rPr>
          <w:b/>
        </w:rPr>
        <w:t>E. 4.4</w:t>
      </w:r>
    </w:p>
    <w:p>
      <w:r>
        <w:t>D er Beschwerdeführer beschränkte sich unstreitig darauf, aus den Liegen schaf ten Mie tzinseinnahmen zu erzielen , was</w:t>
      </w:r>
    </w:p>
    <w:p>
      <w:r>
        <w:t>m it Blick auf die grundsätzlich mass geblichen Umstände</w:t>
      </w:r>
    </w:p>
    <w:p>
      <w:r>
        <w:t>(E. 4.3 hievor ) als blosse Vermögensverwaltung zu gel ten hat . Daran ändert nichts, dass – wie die Beschwerdegegnerin vorbringt - der Beschwerdeführer gleichzeitig beruflich in der Bau- bzw . Immobilienbranche tätig war und damit eine gewisse Nähe</w:t>
      </w:r>
    </w:p>
    <w:p>
      <w:r>
        <w:t>seiner beruflichen Tätigkeit zur Bewirt schaftung seiner Liegenschaften besteht . So wird mit der Berufsnähe auf ein Krite r ium Bezug genommen , welches (zwar)</w:t>
      </w:r>
    </w:p>
    <w:p>
      <w:r>
        <w:t>– neben weiteren Kriterien (vgl. dazu etwa BGE 125 II 11 3 E. 3c ) - von der Rechtsprechung zur Beurteilung des erwerblichen Charakters</w:t>
      </w:r>
    </w:p>
    <w:p>
      <w:r>
        <w:t>des Liegenschaftenhandels</w:t>
      </w:r>
    </w:p>
    <w:p>
      <w:r>
        <w:t>entwickelt wurde . Die Berufsnähe ist</w:t>
      </w:r>
    </w:p>
    <w:p>
      <w:r>
        <w:t>jed och</w:t>
      </w:r>
    </w:p>
    <w:p>
      <w:r>
        <w:t>nicht massgebend, w enn eine Konstellation wie die vor liegende</w:t>
      </w:r>
    </w:p>
    <w:p>
      <w:r>
        <w:t>(Vermietung ohne Tätigung von Käufen und Verkäufen) zur Frage steht</w:t>
      </w:r>
    </w:p>
    <w:p>
      <w:r>
        <w:t>( vgl. Urteil des damaligen Eidgenössischen Versicherungsgerichts H 301/01 vom 2 9. März 2005, E. 5.2).</w:t>
      </w:r>
    </w:p>
    <w:p>
      <w:r>
        <w:t>Ohnehin ist nicht ersichtlich und wird im angefochtenen Entscheid auch nicht näher au sgeführt, inwiefern zwischen de r beruflichen Tätigkeit des Beschwer deführers – namentlich der selbstständig en Erwerbstätigkeit im Bereich Bau herrenvertretung</w:t>
      </w:r>
    </w:p>
    <w:p>
      <w:r>
        <w:t>/Baumanagement</w:t>
      </w:r>
    </w:p>
    <w:p>
      <w:r>
        <w:t>– und der Vermietung von Wohnungen ein rechtserheblicher Zusammenhang bestehen könnte ;</w:t>
      </w:r>
    </w:p>
    <w:p>
      <w:r>
        <w:t>n amentlich ist</w:t>
      </w:r>
    </w:p>
    <w:p>
      <w:r>
        <w:t>nicht erkennbar , inwiefern d er Beschwerdeführer die fraglichen Liegenschaften für die Zwecke seines Geschäfts erworben hätte oder diese dem Ges c häft tatsächlich dien t en beziehungsweise sonst</w:t>
      </w:r>
    </w:p>
    <w:p>
      <w:r>
        <w:t>wie in einem wirtschaftlichen Zusammenhang gestanden hätten (vgl. E. 2.2 hievor ) . A ber auch der weitere von der Beschwer degegnerin angeführte Umstand - wonach</w:t>
      </w:r>
    </w:p>
    <w:p>
      <w:r>
        <w:t>in den streitbetroffenen Liegen schaften nicht unbedeutendes Fremdkapital investiert worden sei –</w:t>
      </w:r>
    </w:p>
    <w:p>
      <w:r>
        <w:t>vermag keine erwerbliche Zweckverfolgung zu begründen . Denn wie die Berufsnähe ist</w:t>
      </w:r>
    </w:p>
    <w:p>
      <w:r>
        <w:t>auch das in der Liegenschaft eingesetzte Fremdkapital</w:t>
      </w:r>
    </w:p>
    <w:p>
      <w:r>
        <w:t>nach der Rechtsprechung für die beitragsrechtliche Abgrenzung von blosser (privater) Vermögensverwal tung und betrieblicher (gewerbsmässiger) Nutzung nur beim</w:t>
      </w:r>
    </w:p>
    <w:p>
      <w:r>
        <w:t>Liegenschaften handel von Bedeutung und nicht entscheidend, wenn sich die Tätigkeit</w:t>
      </w:r>
    </w:p>
    <w:p>
      <w:r>
        <w:t>– wie vorliegend</w:t>
      </w:r>
    </w:p>
    <w:p>
      <w:r>
        <w:t>–</w:t>
      </w:r>
    </w:p>
    <w:p>
      <w:r>
        <w:t>auf die Erzielung von Mietzinseinnahmen beschränkt</w:t>
      </w:r>
    </w:p>
    <w:p>
      <w:r>
        <w:t>( statt vieler : Urteil des Bundesgerichts 9C_803/2011</w:t>
      </w:r>
    </w:p>
    <w:p>
      <w:r>
        <w:t>vom 23. August 2012 , E. 3.4 ).</w:t>
      </w:r>
    </w:p>
    <w:p>
      <w:r>
        <w:t>Dass</w:t>
      </w:r>
    </w:p>
    <w:p>
      <w:r>
        <w:t>die Liegenschaften teilweise f remdfinanziert wurden ,</w:t>
      </w:r>
    </w:p>
    <w:p>
      <w:r>
        <w:t>legt im Übrigen</w:t>
      </w:r>
    </w:p>
    <w:p>
      <w:r>
        <w:t>schon</w:t>
      </w:r>
    </w:p>
    <w:p>
      <w:r>
        <w:t>allein deshalb keine erwerbliche Zweckverfolgung nahe ,</w:t>
      </w:r>
    </w:p>
    <w:p>
      <w:r>
        <w:t>weil die Verwaltung des Pri vatvermöge ns legitimerweise wirtschaftlich motiviert ist</w:t>
      </w:r>
    </w:p>
    <w:p>
      <w:r>
        <w:t>und</w:t>
      </w:r>
    </w:p>
    <w:p>
      <w:r>
        <w:t>auch die private Kapitalanlage regelmässig ertragsorientiert erfolgt und in diesem Sinne eine Gewinnabsicht vorhanden sein kann (vgl. dazu etwa Urteil des damaligen Eid genössischen Versicherungsgericht s H 21 0 /06 vom 22. Juni 2006, E.</w:t>
      </w:r>
    </w:p>
    <w:p>
      <w:r>
        <w:rPr>
          <w:b/>
        </w:rPr>
        <w:t>E. 4.5</w:t>
      </w:r>
    </w:p>
    <w:p>
      <w:r>
        <w:t>Besass der Beschwerdeführer die Li egenschaften unbestrittenermassen teilweise j ahrzehntelang, ohne damit Handel zu treiben, und beschränkte er sich auf die Verwaltung des Grundeigentums , um daraus ein regelmässiges Einkommen zu erzielen, ist dies demnach nach der massgebenden Rechtsprechung</w:t>
      </w:r>
    </w:p>
    <w:p>
      <w:r>
        <w:t>pr i nzipiell als private Vermögensverwaltung zu qual i fizieren (vgl. etwa auch Urteil des Bundesgerichts 9C_86 /2009 vom 3 0. Juni 2010, E . 4.3). Damit stammen die umstrittenen Liegenschaftserträge</w:t>
      </w:r>
    </w:p>
    <w:p>
      <w:r>
        <w:t>aus priv ater Vermögensverwaltung, weshalb der Besch werdeführer diesbezüglich nicht beitragspflichtig ist . Dies gilt namentlich auch bezüglich der</w:t>
      </w:r>
    </w:p>
    <w:p>
      <w:r>
        <w:t>Mietzinser träge aus denjenigen</w:t>
      </w:r>
    </w:p>
    <w:p>
      <w:r>
        <w:t>Liegenschaften , die infolge eines erbrechtlichen Vorganges ins Eigentum des Beschwerdeführers gelangt, dort steuerlich bezüglich ihrer Qualifikation jedoch ebenfalls noch nicht</w:t>
      </w:r>
    </w:p>
    <w:p>
      <w:r>
        <w:t>bindend beurteilt worden sind (vgl. E. 1 hievor ).</w:t>
      </w:r>
    </w:p>
    <w:p>
      <w:r>
        <w:t>D ie vom Beschwerdefüh rer im Verwaltungsverfahren konsequent vorgebrachte und beschwerdeweise erneuerte Darstellung, wonach diese Liegenschaften</w:t>
      </w:r>
    </w:p>
    <w:p>
      <w:r>
        <w:t>im Rahmen der Abwicklung des Nachlasses seines verstorbenen Vaters</w:t>
      </w:r>
    </w:p>
    <w:p>
      <w:r>
        <w:t>seitens der Steuerbehörde als Privat vermögen qualifiziert worden seien (Urk. 1 S. 3 und 12) ,</w:t>
      </w:r>
    </w:p>
    <w:p>
      <w:r>
        <w:t>wurde in der Ver nehmlassung der Beschwerdegegnerin</w:t>
      </w:r>
    </w:p>
    <w:p>
      <w:r>
        <w:t>nicht mehr substantiiert bestritten und es ergibt sich a uch aus den Akten</w:t>
      </w:r>
    </w:p>
    <w:p>
      <w:r>
        <w:t>nichts , was diese Darstellung entscheidend in Frage zu stellen vermöchte.</w:t>
      </w:r>
    </w:p>
    <w:p>
      <w:r>
        <w:t>Letzteres gilt namentlich mit Blick auf die Stellung nahme der zustän digen Steuerkommissärin vom 21. September 2011 (wonach diese aufgrund der intensiven Tätigkeit des Vaters des Beschwerdeführers im Immobilienbereich „davon ausgehe“, dass es sich bei den Liegenschaften um solche des Geschäftsvermögens handle; vgl. Urk. 6/11 S. 2 ) , vermag d iese – auf einer blossen Annahme beruhende - Meinungsäusserung der zuständigen Steu erkommissärin für</w:t>
      </w:r>
    </w:p>
    <w:p>
      <w:r>
        <w:t>die eine Beitragspflicht begründende Qualifikation der fragli chen Liegenschaften als Geschäftsvermögen – entgegen sämtlichen übrigen Gegebenheiten</w:t>
      </w:r>
    </w:p>
    <w:p>
      <w:r>
        <w:t>doch nicht zu genügen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