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AB.2015.00003 vom 29. Januar 2016</w:t>
      </w:r>
    </w:p>
    <w:p>
      <w:r>
        <w:t>ZH Sozialversicherungsgericht, 2016-01-29, DE</w:t>
      </w:r>
    </w:p>
    <w:p>
      <w:r>
        <w:rPr>
          <w:b/>
        </w:rPr>
        <w:t xml:space="preserve">Quelle: </w:t>
      </w:r>
      <w:r>
        <w:t>https://mcp.opencaselaw.ch/entscheid/zh_sozialversicherungsgericht_AB.2015.00003</w:t>
      </w:r>
    </w:p>
    <w:p>
      <w:r>
        <w:t>FR: ZH_SOZIALVERSICHERUNGSGERICHT AB.2015.00003 du 29 janvier 2016</w:t>
      </w:r>
    </w:p>
    <w:p>
      <w:r>
        <w:t>IT: ZH_SOZIALVERSICHERUNGSGERICHT AB.2015.00003 del 29 gennaio 2016</w:t>
      </w:r>
    </w:p>
    <w:p>
      <w:pPr>
        <w:pStyle w:val="Heading2"/>
      </w:pPr>
      <w:r>
        <w:t>Erwägungen</w:t>
      </w:r>
    </w:p>
    <w:p>
      <w:r>
        <w:rPr>
          <w:b/>
        </w:rPr>
        <w:t>E. 1</w:t>
      </w:r>
    </w:p>
    <w:p>
      <w:r>
        <w:t>1. Dezember 2014 ab ( Urk. 2) .</w:t>
      </w:r>
    </w:p>
    <w:p>
      <w:r>
        <w:rPr>
          <w:b/>
        </w:rPr>
        <w:t>E. 1.1</w:t>
      </w:r>
    </w:p>
    <w:p>
      <w:r>
        <w:t>Die Beschwerdegegnerin erklärte zur Begründung der Beitragsfestsetzung, die Ausgleichskassen stellten bei den selbständig Erwerbenden für die Beitragser mittlung auf die Meldungen der Steuerverwaltungen ab. Hinsichtlich der Bei träge für die Alters- und Hinterlassenenversicherung (AHV), für die Invaliden versicherung (IV) und für den Erwerbsersatz für Dienstleistende und bei Mut ter schaft (EO), für welche steuerrechtlich ein Abzug vorgenommen werden könne , nehme die Ausgleichskasse eine Aufrechnung vor. Ab dem 1. Januar 2012 werde gemäss Art. 9 Abs.</w:t>
      </w:r>
    </w:p>
    <w:p>
      <w:r>
        <w:rPr>
          <w:b/>
        </w:rPr>
        <w:t>E. 1.2</w:t>
      </w:r>
    </w:p>
    <w:p>
      <w:r>
        <w:t>Der Beschwerdeführer liess zur Begründung seiner Beschwerde im Wesentlichen vorb ringen, die Übergangsbestimmung von Art.</w:t>
      </w:r>
    </w:p>
    <w:p>
      <w:r>
        <w:rPr>
          <w:b/>
        </w:rPr>
        <w:t>E. 2</w:t>
      </w:r>
    </w:p>
    <w:p>
      <w:r>
        <w:t>Dagegen erhob X.___ am 1 2. Januar 2015 Beschwerde und beantr agte, es s ei das beitragspflichtige Einkommen für das Jahr 2010 auf Fr. 4‘922‘626.-- festzusetzen ( Urk. 1). Mit Verfügung vom 1 9. Januar 2015 wurde der Beschwer degegnerin Frist angesetzt, um zur Beschwerde Stellung zu nehmen und um ihre vollständigen Akten einzureichen ( Urk. 5). Da die Be schwerdegegnerin innert Frist weder eine Beschwerdeantwort noch ihre Akten dem Gericht zustellte noch die vom Beschwerdeführer eingereichten, mit Verfü gung vom 1 9. Januar 2015 zugesandten Akten, zurückschickte, wurde ihr mit Verfügung vom 3. März 2015 Frist angesetz t, um ihre vollständigen Akten und die mit Verfügung vom 1 9. Januar 2015 zugestellten Akten ( Urk. 3/1-5) dem Gericht einzureichen . Die se Fristansetzung war mit der Androhung verbunden, dass die Beschwer de gegnerin bei Säumnis mit einer Ordnungsbusse bestraft werde ( Urk. 7). Mit Ein gabe vom 1 2. März 2015 teilte die Beschwerdegegnerin mit, dass sie an ihrem Einspracheentscheid festhalte und reichte ihre Akte n ein ( Urk. 10/1-5). Da die Beschwerdegegnerin die Einlegerakten des Beschwerdeführer s</w:t>
      </w:r>
    </w:p>
    <w:p>
      <w:r>
        <w:t>( Urk. 3/1-5) nicht zurücksandte, wurde sie mit Verfügung vom 1 9. März 2015 mit einer Ordnungs busse von Fr. 200.-- bestraft. Gleichzeitig wurde ihr erneut Frist angesetzt, um die vom Beschwerdeführer aufgelegten Akten einzureichen, mit der Androhung, dass bei Säumnis die Akten unter Kosten- und Entschädigungsfolge zu ihren Lasten wiederhergestellt würden ( Urk. 11). Am 3 0. März 2015 teilte die Beschwer degegnerin mit, dass die ihr zu gestellten Akten des Beschwerdeführers verloren gegangen seien ( Urk. 13). Mit Verfügung vom 2. April 2015 wurde der Be schwerdeführer ersucht , die nicht mehr vorhandenen Akten wiederherzustellen ( Urk. 14). Dieser Aufforde rung kam er nach ( Urk. 17/1-4). Am 15. Mai</w:t>
      </w:r>
    </w:p>
    <w:p>
      <w:r>
        <w:t>2015 reichte die Beschwerdegeg nerin</w:t>
      </w:r>
    </w:p>
    <w:p>
      <w:r>
        <w:t>die von ihr zuvor als verloren gemeldeten Akten</w:t>
      </w:r>
    </w:p>
    <w:p>
      <w:r>
        <w:t>des Beschwerdeführers dem Gericht ein ( Urk. 18 ; Urk. 3/1-5 ). Mit Verfügung vom 2 8. September 2015 ( Urk. 19) wurden vom Steueramt die Akten des Be schwerdeführers betreffend die Steuerperiode 2010 beigezogen ( Urk. 22/1-75). Am 2 2. Oktober 2015 wurde das Steueramt ersucht, zu dem für das Jahr 2010 gemeldeten Einkommen aus selbständiger Erwerbstätigkeit des Beschwerde füh rers und zum gemeldeten im Betrieb investierten Eigenkapital Stellung zu nehmen und allenfalls ein Rektifi kat einzureichen ( Urk. 23). Das Steueramt liess sich am 6. November 2015 ver nehmen ( Urk. 25/1). Die Stellungnahme des Steuer amtes wurde den Parteien mit Verfügung vom 1 6. November 2015 zur Vernehmlassung zugestellt (Urk. 26). Während sich der Beschwerdeführer am 3. Dezember 2015 vernehmen liess ( Urk. 28), reichte die Beschwerdegegnerin innert Frist keine Stellungnahme ein.</w:t>
      </w:r>
    </w:p>
    <w:p>
      <w:r>
        <w:rPr>
          <w:b/>
        </w:rPr>
        <w:t>E. 3</w:t>
      </w:r>
    </w:p>
    <w:p>
      <w:r>
        <w:t>Auf die Vorbringen der Parteien und die eingereichten Akten wird, soweit erfor derlich, im Rahmen der nachfolgenden Erwägungen eingegangen. Das Gericht zieht in Erwägung: 1.</w:t>
      </w:r>
    </w:p>
    <w:p>
      <w:r>
        <w:rPr>
          <w:b/>
        </w:rPr>
        <w:t>E. 4</w:t>
      </w:r>
    </w:p>
    <w:p>
      <w:r>
        <w:t>des Bundesgesetzes über die AHV (AHVG) das gemeldete Einkommen neu nach Massgabe der geltenden Beitragssätze auf 100 % aufge rechnet. Nicht mehr massgebend seien somit die im jeweiligen Bei tragsjahr verbuchten, in Rechnung gestellten oder effektiv geleisteten Beiträge. Gemäss Übergangsbestimmung gelte Art.</w:t>
      </w:r>
    </w:p>
    <w:p>
      <w:r>
        <w:rPr>
          <w:b/>
        </w:rPr>
        <w:t>E. 9</w:t>
      </w:r>
    </w:p>
    <w:p>
      <w:r>
        <w:t>Abs. 4 AHVG bei einem analogen Sachverhalt (Beitragsjahr e 2008 und 2009 , Steuermeldung nach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