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left"/>
      </w:pPr>
      <w:r>
        <w:t>ZH_SOZIALVERSICHERUNGSGERICHT AB.2014.00008 vom 24. April 2014</w:t>
      </w:r>
    </w:p>
    <w:p>
      <w:r>
        <w:t>ZH Sozialversicherungsgericht, 2014-04-24, DE</w:t>
      </w:r>
    </w:p>
    <w:p>
      <w:r>
        <w:rPr>
          <w:b/>
        </w:rPr>
        <w:t xml:space="preserve">Quelle: </w:t>
      </w:r>
      <w:r>
        <w:t>https://mcp.opencaselaw.ch/entscheid/zh_sozialversicherungsgericht_AB.2014.00008</w:t>
      </w:r>
    </w:p>
    <w:p>
      <w:r>
        <w:t>FR: ZH_SOZIALVERSICHERUNGSGERICHT AB.2014.00008 du 24 avril 2014</w:t>
      </w:r>
    </w:p>
    <w:p>
      <w:r>
        <w:t>IT: ZH_SOZIALVERSICHERUNGSGERICHT AB.2014.00008 del 24 aprile 2014</w:t>
      </w:r>
    </w:p>
    <w:p>
      <w:pPr>
        <w:pStyle w:val="Heading2"/>
      </w:pPr>
      <w:r>
        <w:t>Erwägungen</w:t>
      </w:r>
    </w:p>
    <w:p>
      <w:r>
        <w:rPr>
          <w:b/>
        </w:rPr>
        <w:t>E. 1</w:t>
      </w:r>
    </w:p>
    <w:p>
      <w:r>
        <w:t>Die Beschwerde wird in dem Sinne gutgeheissen, dass der Einspracheentscheid vom 2 4. Januar 2014 aufgehoben und die Sache an die Sozialversicherungsanstalt des Kantons Zürich, Ausgleichskasse, zurückgewiesen wird, damit diese im Sinne der Er wägungen verfahre.</w:t>
      </w:r>
    </w:p>
    <w:p>
      <w:r>
        <w:rPr>
          <w:b/>
        </w:rPr>
        <w:t>E. 2</w:t>
      </w:r>
    </w:p>
    <w:p>
      <w:r>
        <w:t>Das Verfahren ist kostenlos.</w:t>
      </w:r>
    </w:p>
    <w:p>
      <w:r>
        <w:rPr>
          <w:b/>
        </w:rPr>
        <w:t>E. 3</w:t>
      </w:r>
    </w:p>
    <w:p>
      <w:r>
        <w:t>Zustellung gegen Empfangsschein an: - X.___ , unter Beilage des Doppels von Urk.</w:t>
      </w:r>
    </w:p>
    <w:p>
      <w:r>
        <w:rPr>
          <w:b/>
        </w:rPr>
        <w:t>E. 6</w:t>
      </w:r>
    </w:p>
    <w:p>
      <w:r>
        <w:t>- Sozialversicherungsanstalt des Kantons Zürich, Ausgleichskasse - Bundesamt für Sozialversicherungen 4.</w:t>
      </w:r>
    </w:p>
    <w:p>
      <w:r>
        <w:t>Gegen diesen Entscheid kann innert 30 Tagen seit der Zustellung beim Bundesgericht Beschwerde eingereicht werden ( Art. 82 ff. in Verbindung mit Art. 90 ff. des Bundes gesetzes über das Bundesgericht, BGG). Die Frist steht während folgender Zeiten still: vom siebten Tag vor Ostern bis und mit dem siebten Tag nach Ostern, vom 1 5. Juli bis und mit 1 5. August sowie vom 1 8. Dezember bis und mit dem 2. Januar ( Art. 46 BGG).</w:t>
      </w:r>
    </w:p>
    <w:p>
      <w:r>
        <w:t>Die Beschwerdeschrift ist dem Bundesgericht, Schweizerhofquai 6, 6004 Luzern, zuzu stellen.</w:t>
      </w:r>
    </w:p>
    <w:p>
      <w:r>
        <w:t>Die Beschwerdeschrift hat die Begehren, deren Begründung mit Angabe der Beweis mittel und die Unterschrift des Beschwerdeführers oder seines Vertreters zu enthal ten; der angefochtene Entscheid sowie die als Beweismittel angerufenen Urkunden sind beizulegen, soweit die Partei sie in Händen hat ( Art. 42 BGG). Sozialversicherungsgericht des Kantons Zürich Der VorsitzendeDie Gerichtsschreiberin Gräub Bachmann</w:t>
      </w:r>
    </w:p>
    <w:p/>
    <w:p>
      <w:pPr>
        <w:spacing w:before="240"/>
      </w:pPr>
      <w:r>
        <w:t>Export aus OpenCaseLaw (CC0). Verbindlich ist allein der vom erlassenden Gericht veröffentlichte Originaltext. Quellen-URL siehe oben.</w:t>
      </w:r>
    </w:p>
    <w:sectPr w:rsidR="00FC693F" w:rsidRPr="0006063C" w:rsidSect="00034616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Rule="auto" w:line="288" w:before="0" w:after="120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0" w:after="120" w:lineRule="auto" w:line="288"/>
      <w:outlineLvl w:val="0"/>
    </w:pPr>
    <w:rPr>
      <w:rFonts w:asciiTheme="majorHAnsi" w:eastAsiaTheme="majorEastAsia" w:hAnsiTheme="majorHAnsi" w:cstheme="majorBidi" w:ascii="Times New Roman" w:hAnsi="Times New Roman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0" w:after="120" w:lineRule="auto" w:line="288"/>
      <w:outlineLvl w:val="1"/>
    </w:pPr>
    <w:rPr>
      <w:rFonts w:asciiTheme="majorHAnsi" w:eastAsiaTheme="majorEastAsia" w:hAnsiTheme="majorHAnsi" w:cstheme="majorBidi" w:ascii="Times New Roman" w:hAnsi="Times New Roman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0" w:after="120" w:lineRule="auto" w:line="288"/>
      <w:outlineLvl w:val="2"/>
    </w:pPr>
    <w:rPr>
      <w:rFonts w:asciiTheme="majorHAnsi" w:eastAsiaTheme="majorEastAsia" w:hAnsiTheme="majorHAnsi" w:cstheme="majorBidi" w:ascii="Times New Roman" w:hAnsi="Times New Roman"/>
      <w:b/>
      <w:bCs/>
      <w:color w:val="4F81BD" w:themeColor="accent1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