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AB.2012.00003 vom 4. Juli 2013</w:t>
      </w:r>
    </w:p>
    <w:p>
      <w:r>
        <w:t>ZH Sozialversicherungsgericht, 2013-07-04, DE</w:t>
      </w:r>
    </w:p>
    <w:p>
      <w:r>
        <w:rPr>
          <w:b/>
        </w:rPr>
        <w:t xml:space="preserve">Quelle: </w:t>
      </w:r>
      <w:r>
        <w:t>https://mcp.opencaselaw.ch/entscheid/zh_sozialversicherungsgericht_AB.2012.00003</w:t>
      </w:r>
    </w:p>
    <w:p>
      <w:r>
        <w:t>FR: ZH_SOZIALVERSICHERUNGSGERICHT AB.2012.00003 du 4 juillet 2013</w:t>
      </w:r>
    </w:p>
    <w:p>
      <w:r>
        <w:t>IT: ZH_SOZIALVERSICHERUNGSGERICHT AB.2012.00003 del 4 luglio 2013</w:t>
      </w:r>
    </w:p>
    <w:p>
      <w:pPr>
        <w:pStyle w:val="Heading2"/>
      </w:pPr>
      <w:r>
        <w:t>Erwägungen</w:t>
      </w:r>
    </w:p>
    <w:p>
      <w:r>
        <w:rPr>
          <w:b/>
        </w:rPr>
        <w:t>E. 1</w:t>
      </w:r>
    </w:p>
    <w:p>
      <w:r>
        <w:t>1.1Â Â Â Â  Die ordentlichen Renten der AHV gelangen als Vollrenten oder Teilrenten zur Ausrichtung, wobei Anspruch auf die volle Rente besteht, wenn die Beitragsdauer vollstÃ¤ndig ist (Art. 29 Abs. 2 des Bundesgesetzes Ã¼ber die Alters- und Hinterlassenenversicherung, AHVG).</w:t>
      </w:r>
    </w:p>
    <w:p>
      <w:r>
        <w:t>1.2Â Â Â Â  Nach Art. 29 bis Abs. 1 AHVG werden fÃ¼r die Berechnung der ordentlichen Renten Beitragsjahre, Erwerbseinkommen sowie Erziehungs- oder Betreuungsgutschriften der rentenberechtigten Person zwischen dem 1. Januar nach Vollendung des 20. Altersjahres und dem 31. Dezember vor Eintritt des Versicherungsfalles (Rentenalter oder Tod) berÃ¼cksichtigt. Die Rente wird nach Massgabe des durchschnittlichen Jahreseinkommens berechnet, welches sich aus den Erwerbseinkommen, den Erziehungsgutschriften und den Betreuungsgutschriften zusammensetzt (Art. 29 quater AHVG). Was begrifflich unter Erwerbseinkommen im Sinne dieser Vorschrift zu verstehen ist, wird in Art. 29 quinquies Abs. 1 und 2 AHVG nÃ¤her umschrieben. Daneben enthÃ¤lt diese Bestimmung unter anderem fÃ¼r verheiratete Personen eine besondere Bemessungsregel (Abs. 3-6).Â</w:t>
      </w:r>
    </w:p>
    <w:p>
      <w:r>
        <w:t>1.3Â Â Â Â  GemÃ¤ss Art. 29 sexies AHVG wird Versicherten fÃ¼r die Jahre, in welchen ihnen die elterliche Sorge fÃ¼r eines oder mehrere Kinder zusteht, die das 16. Altersjahr noch nicht erreicht haben, eine Erziehungsgutschrift angerechnet (Abs. 1), die bei verheirateten Personen wÃ¤hrend der Kalenderjahre der Ehe hÃ¤lftig geteilt wird (Abs. 3). Die Erziehungsgutschrift entspricht dem Betrag der dreifachen minimalen jÃ¤hrlichen Altersrente gemÃ¤ss Art. 34 AHVG im Zeitpunkt der Entstehung des Rentenanspruchs (Art. 29 sexies Abs. 2 AHVG).</w:t>
      </w:r>
    </w:p>
    <w:p>
      <w:r>
        <w:t>1.4Â Â Â Â  Bei der Ermittlung des durchschnittlichen Jahreseinkommens wird die Summe der Erwerbseinkommen entsprechend dem Rentenindex gemÃ¤ss Art. 33 ter AHVG aufgewertet, wobei der Bundesrat die Aufwertungsfaktoren jÃ¤hrlich feststellen lÃ¤sst (Art. 30 Abs. 1 AHVG). GemÃ¤ss Art. 51 bis Abs. 1 der Verordnung Ã¼ber die Alters- und Hinterlassenenversicherung (AHVV) legt das Bundesamt die Faktoren fÃ¼r die Aufwertung der Summe der Erwerbseinkommen nach Art. 30 Abs. 1 AHVG jÃ¤hrlich fest. GemÃ¤ss Art. 51 bis Abs. 2 AHVV wird zur Ermittlung des Aufwertungsfaktors der Rentenindex nach Art. 33 ter Abs. 2 AHVG durch den mit 1,1 gewichteten Durchschnitt der Lohnindizes aller Kalenderjahre von der ersten Eintragung in das individuelle Konto des Versicherten bis zum Vorjahr des Eintritts des Versicherungsfalles geteilt. In Rz 5301 der Wegleitung Ã¼ber die Renten (RWL) in der EidgenÃ¶ssischen Alters-, Hinterlassenen- und Invalidenversicherung in der seit 1. Januar 2003 gÃ¼ltigen Fassung (Stand 1. Januar 2011) hat das Bundesamt fÃ¼r Sozialversicherungen (BSV) festgelegt, dass die Einkommenssumme mit einem Aufwertungsfaktor multipliziert wird, der nach dem Kalenderjahr bestimmt wird, in welchem der massgebende erste Eintrag in das individuelle Konto (IK) vorgenommen wurde. Die Summe der aufgewerteten Erwerbseinkommen sowie die Erziehungs- oder Betreuungsgutschriften werden durch die Anzahl der Beitragsjahre geteilt (Art. 30 Abs. 2 AHVG).</w:t>
      </w:r>
    </w:p>
    <w:p>
      <w:r>
        <w:t>1.5Â Â Â Â  GemÃ¤ss Art. 40 AHVG kÃ¶nnen MÃ¤nner und Frauen, welche die Voraussetzungen fÃ¼r den Anspruch auf eine ordentliche Altersrente erfÃ¼llen, die Rente ein oder zwei Jahre vorbeziehen. Der Rentenanspruch entsteht in diesen FÃ¤llen fÃ¼r MÃ¤nner am ersten Tag des Monats nach Vollendung des 64. oder 63. Altersjahres, fÃ¼r Frauen am ersten Tag des Monats nach Vollendung des 63. oder 62. Altersjahres (Abs. 1 Satz 1 und 2). Die vorbezogene Altersrente wird gekÃ¼rzt (Abs. 2). Der Bundesrat legt den KÃ¼rzungssatz nach versicherungstechnischen GrundsÃ¤tzen fest (Abs. 3).</w:t>
      </w:r>
    </w:p>
    <w:p>
      <w:r>
        <w:t>Â Â Â Â Â Â Â Â  Laut Art. 56 AHVV wird die Rente um den Gegenwert der vorbezogenen Rente gekÃ¼rzt (Abs. 1). Bis zum Rentenalter entspricht dieser Betrag pro Vorbezugsjahr 6.8 Prozent der vorbezogenen Rente (Abs. 2). Nach Erreichen des Rentenalters entspricht dieser Betrag pro Vorbezugsjahr 6.8 Prozent der Summe der ungekÃ¼rzten Renten, dividiert durch die Anzahl der Monate wÃ¤hrend denen die Rente bezogen wurde (Abs. 3).</w:t>
      </w:r>
    </w:p>
    <w:p>
      <w:r>
        <w:t>1.6Â Â Â Â  Verwaltungsweisungen richten sich an die DurchfÃ¼hrungsstellen und sind fÃ¼r das Sozialversicherungsgericht nicht verbindlich. Dieses soll sie bei seiner Entscheidung aber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133 V 587 E. 6.1 S. 591; 133 V 257 E. 3.2 S. 258 mit Hinweisen; vgl. BGE 133 II 305 E. 8.1 S. 315).</w:t>
      </w:r>
    </w:p>
    <w:p>
      <w:r>
        <w:rPr>
          <w:b/>
        </w:rPr>
        <w:t>E. 2</w:t>
      </w:r>
    </w:p>
    <w:p>
      <w:r>
        <w:t>2.1Â Â Â Â  Die BeschwerdefÃ¼hrerin hat die BeitrÃ¤ge lÃ¼ckenlos bezahlt, weshalb sie unbestrittenermassen Anspruch auf eine ordentliche Altersrente gemÃ¤ss Rentenskala 44 (Vollrente) hat. Streitig und zu prÃ¼fen ist indes die HÃ¶he des massgebenden durchschnittlichen Jahreseinkommens und in diesem Zusammenhang namentlich die HÃ¶he des zu berÃ¼cksichtigen Erwerbseinkommens sowie der anzuwendende Aufwertungsfaktor.</w:t>
      </w:r>
    </w:p>
    <w:p>
      <w:r>
        <w:rPr>
          <w:b/>
        </w:rPr>
        <w:t>E. 2.2</w:t>
      </w:r>
    </w:p>
    <w:p>
      <w:r>
        <w:t>2.2.1Â Â  Die BeschwerdefÃ¼hrerin machte unter Berufung auf das PersonenfreizÃ¼gig-keitsabkommen (Abkommen vom 21. Juni 1999 zwischen der Schweizerischen Eidgenossenschaft einerseits und der EuropÃ¤ischen Gemeinschaft und ihren Mitgliedstaaten andererseits Ã¼ber die FreizÃ¼gigkeit, FZA) sowie die im Anhang II des FZA bis Ende MÃ¤rz 2012 als anwendbar erklÃ¤rte Verordnung (EWG) Nr. 1408/71 des Rates vom 14. Juni 1971 zur Anwendung der Systeme der sozialen Sicherheit auf Arbeitnehmer und SelbststÃ¤ndige sowie deren FamilienangehÃ¶rige, die innerhalb der Gemeinschaft zu- und abwandern (nachfolgend: Verordnung Nr. 1408/71) geltend, das von ihr in der Zeit vom 3. Februar bis 13. MÃ¤rz 2004 im Land A.___ erzielte Einkommen sei bei der Berechnung des massgebenden Einkommens fÃ¼r die AHV-Rente anzurechnen.</w:t>
      </w:r>
    </w:p>
    <w:p>
      <w:r>
        <w:t>2.2.2Â Â  Das FZA ist am 1. Juni 2002 in Kraft getreten. Es fragt sich, ob dieses Abkommen, insbesondere sein Anhang II, der die Koordinierung der Systeme der sozialen Sicherheit regelt, im vorliegenden Verfahren zu berÃ¼cksichtigen ist (BGE 128 V 315 E. 1) und ob der zu beurteilende Sachverhalt in seinen Anwendungsbereich fÃ¤llt.</w:t>
      </w:r>
    </w:p>
    <w:p>
      <w:r>
        <w:t>2.2.3Â Â  Nach Art. 1 Abs. 1 des auf der Grundlage des Art. 8 FZA ausgearbeiteten und Bestandteil des Abkommens bildenden (Art. 15 FZA) Anhangs II ÂKoordinierung der Systeme der sozialen Sicherheit" des FZA in Verbindung mit Abschnitt A dieses Anhangs wenden die Vertragsparteien untereinander insbesondere die Verordnung Nr. 1408/71 und die Verordnung (EWG) Nr. 574/72 des Rates vom 21. MÃ¤rz 1972 Ã¼ber die DurchfÃ¼hrung der Verordnung (EWG) Nr. 1408/71 Ã¼ber die Anwendung der Systeme der sozialen Sicherheit auf Arbeitnehmer und SelbststÃ¤ndige sowie deren FamilienangehÃ¶rige, die innerhalb der Gemeinschaft zu- und abwandern, oder gleichwertige Vorschriften an. Der am 1. Juni 2002 in Kraft getretene neue Art. 153a AHVG verweist in lit. a auf diese beiden Koordinierungsverordnungen.</w:t>
      </w:r>
    </w:p>
    <w:p>
      <w:r>
        <w:t>2.2.4Â Â  Die BeschwerdefÃ¼hrerin erreichte das Alter fÃ¼r den Rentenvorbezug am 16. Au-gust 2011 und damit nach In-Kraft-Treten des FZA am 1. Juni 2002. Auch die streitige VerfÃ¼gung und der Einspracheentscheid wurden nach diesem Datum erlassen. Deshalb sind das Abkommen und die Koordinierungsverordnungen in zeitlicher Hinsicht anwendbar. Sie sind auf die BeschwerdefÃ¼hrerin in persÃ¶nlicher Hinsicht anwendbar, weil sie als Arbeitnehmerin gilt, die Staats-angehÃ¶rige eines Mitgliedstaats ist und fÃ¼r welche die Rechtsvorschriften eines oder mehrerer Mitgliedstaaten gelten oder galten (Art. 2 Abs. 1 Verordnung Nr. 1408/71). Auch der sachliche Anwendungsbereich ist vorliegend gegeben, da die Verordnung Nr. 1408/71 fÃ¼r alle Rechtsvorschriften Ã¼ber Zweige der sozialen Sicherheit gilt, die Leistungen bei Alter betreffen (Art. 4 Abs. 1 lit. c Verordnung Nr. 1408/71).</w:t>
      </w:r>
    </w:p>
    <w:p>
      <w:r>
        <w:t>2.2.5Â Â  Nach Art. 8 lit. c FZA regeln die Vertragsparteien die Koordinierung der Systeme der sozialen Sicherheit gemÃ¤ss Anhang II, um die Zusammenrechnung aller nach den verschiedenen nationalen Rechtsvorschriften berÃ¼cksichtigten Versicherungszeiten fÃ¼r den Erwerb und die Aufrechterhaltung des Leistungsanspruchs sowie fÃ¼r die Berechnung der Leistungen zu gewÃ¤hrleisten.</w:t>
      </w:r>
    </w:p>
    <w:p>
      <w:r>
        <w:t>Â Â Â Â Â Â Â Â  Bei der Berechnung der Renten kennt das europÃ¤ische Koordinationsrecht das allgemeine Prinzip der Zusammenrechnung von Versicherungszeiten. Dabei erfolgt nach den gemeinschaftlichen Bestimmungen eine Vergleichsrechnung; einerseits ist die Berechnung allein nach dem innerstaatlichen Rentenrecht vorzunehmen, und andererseits ist - bei Beteiligung von mehreren Staaten - zunÃ¤chst eine Totalisierung und sodann eine Proratisierung vorzunehmen (Ueli Kieser Alters- und Hinterlassenenversicherung, in: Schweizerisches Bundesverwaltungsrecht [SBVR], Band XIV, Soziale Sicherheit, 2. Auflage, Basel 2007, S. 1207 Rz 34, vgl. auch BGE 130 V 51 E. 5.2)</w:t>
      </w:r>
    </w:p>
    <w:p>
      <w:r>
        <w:t>2.2.6Â Â  GemÃ¤ss Art. 46 Abs. 1 lit. b Verordnung Nr. 1408/71 kann auf die Berechnung nach der Totalisierungs- und Proratisierungsmethode verzichtet werden, wenn die Berechnung allein nach den nationalen Rechtsvorschriften zum gleichen oder zu einem besseren Ergebnis fÃ¼hrt. Anhang IV, Teil C, der Verordnung Nr. 1408/71 zÃ¤hlt die FÃ¤lle im Sinne von Art. 46 Abs. 1 lit. b der Verordnung auf, in denen auf die Berechnung der Leistung gemÃ¤ss Art. 46 Abs. 2 der Verordnung verzichtet werden kann.</w:t>
      </w:r>
    </w:p>
    <w:p>
      <w:r>
        <w:t>Â Â Â Â Â Â Â Â  FÃ¼r die Schweiz ist die ergÃ¤nzende Bestimmung von Anhang II, Abschnitt A, Ziff. 1 lit. m FZA massgebend, wonach alle AntrÃ¤ge auf Alters-, Hinterlassenen- und Invalidenrenten des Grundsystems sowie auf Altersrenten des Systems der beruflichen Vorsorge als solche FÃ¤lle gelten, in denen auf die Berechnung der Leistung gemÃ¤ss Art. 46 Abs. 2 der Verordnung Nr. 1408/71 verzichtet werden kann. Die Schweiz konnte die autonome Rentenberechnung beibehalten, da sie nicht gegen den EU-Grundsatz verstÃ¶sst, wonach ein nach den nationalen Vorschriften errechneter Betrag nicht kleiner sein darf als der Betrag, der sich aus der Zusammenrechnung der Versicherungszeiten und der Pro-Rata-Methode ergibt (BGE 130 V 51 E. 5.3-4). Dies bedeutet, dass bei Personen, die Beitragszeiten in Staaten zurÃ¼ckgelegt haben, welche dem FZA angehÃ¶ren, die Berechnung der AHV-Rente dennoch ausschliesslich nach Massgabe der in der Schweiz zurÃ¼ckgelegten Beitragszeiten erfolgt (Kieser, a.a.O.).</w:t>
      </w:r>
    </w:p>
    <w:p>
      <w:r>
        <w:t>2.2.7Â Â  Nach dem Gesagten ergibt sich, dass die Berechnung der der BeschwerdefÃ¼hrerin geschuldeten schweizerischen AHV-Vollrente richtigerweise unbesehen allfÃ¤lliger im Land A.___ zurÃ¼ckgelegten Beitrags- beziehungsweise Versicherungszeiten erfolgte.</w:t>
      </w:r>
    </w:p>
    <w:p>
      <w:r>
        <w:t>Â Â Â Â Â Â Â Â  Dass die nationalen Stellen bei der Berechnung des von ihnen zu zahlenden Rentenbetrags die in einem anderen Mitgliedstaat zurÃ¼ckgelegten Versicherungszeiten nicht berÃ¼cksichtigen, ist Teil der Konzeption der Verordnung Nr. 1408/71, die eigenstÃ¤ndige Systeme hat bestehen lassen, die eigenstÃ¤ndige Forderungen gegen eigenstÃ¤ndige TrÃ¤ger gewÃ¤hren, gegen die dem Leistungsberechtigten unmittelbare AnsprÃ¼che zustehen (BGE 130 V 51 E. 5.5 mit Hinweisen).</w:t>
      </w:r>
    </w:p>
    <w:p>
      <w:r>
        <w:rPr>
          <w:b/>
        </w:rPr>
        <w:t>E. 2.3</w:t>
      </w:r>
    </w:p>
    <w:p>
      <w:r>
        <w:t>2.3.1Â Â  Die BeschwerdefÃ¼hrerin rÃ¼gte des Weiteren, die Beschwerdegegnerin habe zu Unrecht den Aufwertungsfaktor des Jahres 1970 (nach Vollendung des 20. Altersjahres) angewendet. Da der erste IK-Eintrag bereits im Jahr 1967 erfolgt sei, sei der Aufwertungsfaktor dieses Jahres anzuwenden. Soweit die Beschwerdegegnerin gestÃ¼tzt auf die RWL den IK-Eintrag des Jahres 1970 als massgebend erachte (vgl. Urk. 2 S. 2 unten), finde dies keine Grundlage in den gesetzlichen Bestimmungen.</w:t>
      </w:r>
    </w:p>
    <w:p>
      <w:r>
        <w:t>2.3.2Â Â  In seinem Urteil H 49/05 vom 1. Dezember 2005 hat sich das Bundesgericht unter BerÃ¼cksichtigung der Entwicklungsgeschichte der fÃ¼r die Rentenberechnung massgebenden Elemente eingehend mit der Einkommensaufwertung auseinandergesetzt und ist zum Schluss gelangt, dass es ausgehend vom Zweck und der Ausgestaltung des Aufwertungsfaktors in AbhÃ¤ngigkeit zu den Lohnindizes der einzelnen Einkommensjahre nicht sachgerecht wÃ¤re, bei der Ermittlung des Aufwertungsfaktors auch bei den FÃ¤llen, in welchen der erste IK-Eintrag nicht dem ersten massgebenden entspreche, gleichwohl vom ersten tatsÃ¤chlichen IK-Eintrag auszugehen, und damit bei der Aufwertung an Jahre anzuknÃ¼pfen, aus denen gar keine Einkommen berÃ¼cksichtigt wÃ¼rden. Vielmehr sei es folgerichtig, bei der Ermittlung des Aufwertungsfaktors nur diejenigen Jahre zu berÃ¼cksichtigen, fÃ¼r welche auch Einkommen aufgerechnet wÃ¼rden. Beim ersten Eintrag ins IK gemÃ¤ss Art. 51 bis Abs. 2 AHVV sei deshalb vom Eintrag des ersten Jahres auszugehen, fÃ¼r welches Einkommen aufgerechnet wÃ¼rden. Entsprechend beurteilte das hÃ¶chste Gericht die Verwaltungspraxis (Rz 5301 RWL), wonach vom ersten massgebenden Eintrag auszugehen ist, als gesetzeskonform (Urteil des Bundesgerichts H 49/05 vom 1. Dezember 2005 E. 2.4).</w:t>
      </w:r>
    </w:p>
    <w:p>
      <w:r>
        <w:t>2.3.3Â Â  Mit Blick auf die dargelegte bundesgerichtliche Rechtsprechung ist nicht zu beanstanden, dass die Beschwerdegegnerin bei der Berechnung der Altersrente der BeschwerdefÃ¼hrerin den Aufwertungsfaktor entsprechend dem Jahr 1970 (und nicht des ersten IK-Eintrages von 1967) angewendet hat, nachdem die BeschwerdefÃ¼hrerin eine vollstÃ¤ndige Beitragsdauer aufweist und keine LÃ¼ckenfÃ¼llung mit Jugendjahren, also keine BerÃ¼cksichtigung der vor dem 20. Altersjahr (ab 1967) erzielten Einkommen erfolgte.</w:t>
      </w:r>
    </w:p>
    <w:p>
      <w:r>
        <w:t>2.4Â Â Â Â  Auf den Antrag der BeschwerdefÃ¼hrerin, die in der VerfÃ¼gung vom 27. Juni 2011 statuierte Meldepflicht bei Auslandsaufenthalt von Ã¼ber 3 Monaten ersatzlos zu streichen, ist schliesslich mangels Rechtsschutzinteresses nicht einzutreten.</w:t>
      </w:r>
    </w:p>
    <w:p>
      <w:r>
        <w:t>3.Â Â Â Â Â Â  Da die Berechnung der Altersrente im Ãbrigen unbeanstandet geblieben ist und auch keine Anhaltspunkte bestehen, dass diese nicht den gesetzlichen Bestimmungen entspricht, erweist sich der angefochtene Entscheid als rechtens. Dies fÃ¼hrt zur Abweisung der Beschwerde, soweit darauf eingetreten werden kann.</w:t>
      </w:r>
    </w:p>
    <w:p>
      <w:r>
        <w:t>Das Gericht erkennt:</w:t>
      </w:r>
    </w:p>
    <w:p>
      <w:r>
        <w:t>1.Â Â Â Â Â Â Â Â  Die Beschwerde wird abgewiesen, soweit darauf eingetreten wird.</w:t>
      </w:r>
    </w:p>
    <w:p>
      <w:r>
        <w:t>2.Â Â Â Â Â Â Â Â  Das Verfahren ist kostenlos.</w:t>
      </w:r>
    </w:p>
    <w:p>
      <w:r>
        <w:t>3.Â Â Â Â Â Â Â Â  Zustellung gegen Empfangsschein an:</w:t>
      </w:r>
    </w:p>
    <w:p>
      <w:r>
        <w:t>- Y.___</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