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AB.2011.00045 vom 29. November 2012</w:t>
      </w:r>
    </w:p>
    <w:p>
      <w:r>
        <w:t>ZH Sozialversicherungsgericht, 2012-11-29, DE</w:t>
      </w:r>
    </w:p>
    <w:p>
      <w:r>
        <w:rPr>
          <w:b/>
        </w:rPr>
        <w:t xml:space="preserve">Quelle: </w:t>
      </w:r>
      <w:r>
        <w:t>https://mcp.opencaselaw.ch/entscheid/zh_sozialversicherungsgericht_AB.2011.00045</w:t>
      </w:r>
    </w:p>
    <w:p>
      <w:r>
        <w:t>FR: ZH_SOZIALVERSICHERUNGSGERICHT AB.2011.00045 du 29 novembre 2012</w:t>
      </w:r>
    </w:p>
    <w:p>
      <w:r>
        <w:t>IT: ZH_SOZIALVERSICHERUNGSGERICHT AB.2011.00045 del 29 novembre 2012</w:t>
      </w:r>
    </w:p>
    <w:p>
      <w:pPr>
        <w:pStyle w:val="Heading2"/>
      </w:pPr>
      <w:r>
        <w:t>Erwägungen</w:t>
      </w:r>
    </w:p>
    <w:p>
      <w:r>
        <w:rPr>
          <w:b/>
        </w:rPr>
        <w:t>E. 1</w:t>
      </w:r>
    </w:p>
    <w:p>
      <w:r>
        <w:t>1.1Â Â Â Â  Die ordentlichen Renten der AHV und IV gelangen als Vollrenten oder Teilrenten zur Ausrichtung, wobei Anspruch auf die volle Rente besteht, wenn die Beitragsdauer vollstÃ¤ndig ist (Art. 29 Abs. 2 des Bundesgesetzes Ã¼ber die Alters- und Hinterlassenenversicherung,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 Bei unvollstÃ¤ndiger Beitragsdauer besteht Anspruch auf eine Teilrente, entsprechend dem gerundeten VerhÃ¤ltnis zwischen den vollen Beitragsjahren der versicherten Person und denjenigen ihres Jahrganges (Art. 38 Abs. 2 AHVG).</w:t>
      </w:r>
    </w:p>
    <w:p>
      <w:r>
        <w:t>1.2Â Â Â Â  Nach Art. 29 bis Abs. 1 AHVG werden fÃ¼r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berÃ¼cksichtigt. Die Rente wird nach Massgabe des durchschnittlichen Jahreseinkommens berechnet, welches sich aus den Erwerbseinkommen, den Erziehungsgutschriften und den Betreuungsgutschriften zusammensetzt (Art. 29 quater AHVG). Was begrifflich unter Erwerbseinkommen im Sinne dieser Vorschrift zu verstehen ist, wird in Art. 29 quinquies Abs. 1 und 2 AHVG nÃ¤her umschrieben. Daneben enthÃ¤lt diese Bestimmung unter anderem fÃ¼r verheiratete Personen eine besondere Bemessungsregel.</w:t>
      </w:r>
    </w:p>
    <w:p>
      <w:r>
        <w:t>Â Â Â Â Â Â Â Â  Nach Art. 29 quinquies Abs. 3 AHVG werden Einkommen, welche die Ehegatten wÃ¤hrend der Kalenderjahre der gemeinsamen Ehe erzielt haben, geteilt und je zur HÃ¤lfte den beiden Ehegatten angerechnet ("Splitting"). Die Einkommensteilung wird unter anderem vorgenommen, wenn beide Ehegatten rentenberechtigt sind oder bei AuflÃ¶sung der Ehe durch Scheidung. Der Teilung und der gegenseitigen Anrechnung unterliegen laut Art. 29 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 wobei Art. 29 bis Abs. 2 AHVG vorbehalten bleibt.</w:t>
      </w:r>
    </w:p>
    <w:p>
      <w:r>
        <w:t>1.3Â Â Â Â  GemÃ¤ss Art. 29 sexies AHVG wird Versicherten fÃ¼r die Jahre, in welchen ihnen die elterliche Sorge fÃ¼r eines oder mehrere Kinder zusteht, die das 16. Altersjahr noch nicht erreicht haben, eine Erziehungsgutschrift angerechnet (Abs. 1), die bei verheirateten Personen wÃ¤hrend der Kalenderjahre der Ehe hÃ¤lftig geteilt wird (Abs. 3). Die Erziehungsgutschrift entspricht dem Betrag der dreifachen minimalen jÃ¤hrlichen Altersrente gemÃ¤ss Art. 34 AHVG im Zeitpunkt der Entstehung des Rentenanspruchs (Art. 29 sexies Abs. 2 AHVG) und entsprach im Jahre 2008 Fr. 39'780.-- (Fr. 1'105.-- x 12 x 3; vgl. Art. 3 Abs. 1 der Verordnung 07 Ã¼ber die Anpassungen an die Lohn- und Preisentwicklung bei der AHV/IV).</w:t>
      </w:r>
    </w:p>
    <w:p>
      <w:r>
        <w:t>Â Â Â Â Â Â Â Â  Bei der Berechnung der Altersrenten von verwitweten und geschiedenen Personen, die vor dem 1. Januar 1953 geboren sind, wird eine Ãbergangsgutschrift berÃ¼cksichtigt, wenn ihnen nicht wÃ¤hrend mindestens 16 Jahren Erziehungs- oder Betreuungsgutschriften angerechnet werden konnten. Die Ãbergangsgutschrift entspricht der HÃ¶he der halben Erziehungsgutschrift und wird nach dem Alter der versicherten Person abgestuft. FÃ¼r Personen mit Jahrgang 1947 betrÃ¤gt sie 12 Jahre, jedoch maximal die Anzahl Jahre, welche fÃ¼r die Festsetzung der Rentenskala der rentenberechtigten Person berÃ¼cksichtigt werden (SchlB lit. c Abs. 2 und 3).</w:t>
      </w:r>
    </w:p>
    <w:p>
      <w:r>
        <w:t>1.4Â Â Â Â  Bei der Ermittlung des durchschnittlichen Jahreseinkommens wird die Summe der Erwerbseinkommen entsprechend dem Rentenindex gemÃ¤ss Art. 33 ter AHVG (Anpassung an die Lohn- und Preisentwicklung) aufgewertet und durch die Anzahl der Beitragsjahre geteilt (Art. 30 AHVG). Das Bundesamt legt die Faktoren fÃ¼r die Aufwertung jÃ¤hrlich fest (Art. 51 bis Abs. 1 der Verordnung Ã¼ber die Alters- und Hinterlassenenversicherung, AHVV). Der Aufwertungsfaktor wird nach dem Kalenderjahr bestimmt, in welchem der erste Eintrag in das individuelle Konto vorgenommen wurde (Art. 51 bis Abs. 2 AHVV).</w:t>
      </w:r>
    </w:p>
    <w:p>
      <w:r>
        <w:t>1.5Â Â Â Â  FÃ¼r jede betragspflichtige versicherte Person werden individuelle Konten gefÃ¼hrt, in welche die fÃ¼r die Berechnung der ordentlichen Renten erforderlichen Angaben eingetragen werden (Art. 30 ter Abs. 1 AHVG).</w:t>
      </w:r>
    </w:p>
    <w:p>
      <w:r>
        <w:t>Â Â Â Â Â Â Â Â  Laut Art. 141 AHVV hat die versicherte Person das Recht, bei jeder Ausgleichskasse, die fÃ¼r sie ein individuelles Konto fÃ¼hrt, einen Auszug Ã¼ber die darin gemachten Eintragungen unter Angabe allfÃ¤lliger Arbeitgeber zu verlangen (Abs. 1). Sie kann Ã¼berdies bei der fÃ¼r den Beitragsbezug zustÃ¤ndigen oder einer andern Ausgleichskasse AuszÃ¼ge aus sÃ¤mtlichen bei den einzelnen Ausgleichskassen fÃ¼r sie gefÃ¼hrten individuellen Konten verlangen (Abs. 1 bis ). Versicherte Personen, welche die Richtigkeit einer Eintragung nicht anerkennen, kÃ¶nnen innert 30 Tagen seit Zustellung des Kontenauszuges bei der Ausgleichskasse eine Berichtigung verlangen, worÃ¼ber die Ausgleichskasse mit VerfÃ¼gung entscheidet (Abs. 2). Wird kein Kontenauszug oder keine Berichtigung verlangt, oder wird das Berichtigungsbegehren abgelehnt, so kann bei Eintritt des Versicherungsfalles die Berichtigung von Eintragungen im individuellen Konto nur verlangt werden, soweit deren Unrichtigkeit offenkundig ist oder dafÃ¼r der volle Beweis erbracht wird (Abs. 3). Das gilt nicht nur fÃ¼r unrichtige, sondern auch fÃ¼r unvollstÃ¤ndige Eintragungen im individuellen Konto, wie beispielsweise die Nichtregistrierung tatsÃ¤chlich geleisteter Zahlungen. Diese Kontenbereinigung erstreckt sich alsdann auf die gesamte Beitragsdauer der versicherten Person, betrifft also auch jene Beitragsjahre, fÃ¼r welche gemÃ¤ss Art. 16 Abs. 1 AHVG jede Nachzahlung von BeitrÃ¤gen ausgeschlossen ist. Die Kasse darf aber im Rahmen von Art. 141 Abs. 3 AHVV nicht Ã¼ber Rechtsfragen entscheiden, welche die versicherte Person schon frÃ¼her durch Beschwerde zur richterlichen Beurteilung hÃ¤tte bringen kÃ¶nnen, sondern nur allfÃ¤llig vorhandene Buchungsfehler korrigieren (BGE 117 V 261 E. 3a mit Hinweisen).</w:t>
      </w:r>
    </w:p>
    <w:p>
      <w:r>
        <w:rPr>
          <w:b/>
        </w:rPr>
        <w:t>E. 2</w:t>
      </w:r>
    </w:p>
    <w:p>
      <w:r>
        <w:t>2.1Â Â Â Â  Die BeschwerdefÃ¼hrerin, welche nach ihrer Einreise in die Schweiz im Oktober 2000 im Dezember 2000 heiratete, arbeitete ab Mai 2001 erstmals in der Schweiz (vgl. Urk. 7/39/2-3). Seither bezahlte sie die AHV-BeitrÃ¤ge lÃ¼ckenlos. Bis 31. Dezember 2010 rechnete ihr die Beschwerdegegnerin unter BerÃ¼cksichtigung dreier beitragsloser Ehemonate von Oktober bis Dezember 2000 10 Jahre und 3 Monate Beitragsdauer an (vgl. Acor-Berechnungsblatt, Urk. 7/68/1-4). Da der BeschwerdefÃ¼hrerin die Monate, die sie im Jahr des Eintritts des Rentenalters zurÃ¼ckgelegt hat, zur LÃ¼ckenfÃ¼llung angerechnet werden kÃ¶nnen (Art. 52c AHVV), weist sie eine fÃ¼r die Wahl der Rentenskala massgebende Beitragszeit von 11 Jahren aus. Aus der GegenÃ¼berstellung zur vollstÃ¤ndigen Beitragsdauer von 43 Jahren ergibt dies einen Anspruch auf eine Teilrente innerhalb der Rentenskala 12 (vgl. Rententabellen 2011 S. 10). Die BeschwerdefÃ¼hrerin lÃ¤sst dies zu Recht unbestritten und stellt auch nicht in Frage, dass fÃ¼r die Berechnung der Schweizerischen Altersrente die in Deutschland zurÃ¼ckgelegten Versicherungszeiten nicht miteinzubeziehen sind, sehen dies doch weder das Abkommen vom 25. Februar 1964 zwischen der Schweizerischen Eidgenossenschaft und der Bundesrepublik Deutschland Ã¼ber soziale Sicherheit noch das am 1. Juni 2002 in Kraft getretene Abkommen vom 21. Juni 1999 zwischen der Schweizerischen Eidgenossenschaft einerseits und der EuropÃ¤ischen Gemeinschaft und ihren Mitgliedstaaten andererseits Ã¼ber die FreizÃ¼gigkeit (FZA) vor (vgl. BGE 130 V 51, 131 V 1 S. 4).</w:t>
      </w:r>
    </w:p>
    <w:p>
      <w:r>
        <w:t>2.2Â Â Â Â</w:t>
      </w:r>
    </w:p>
    <w:p>
      <w:r>
        <w:t>2.2.1Â Â  Das von der Beschwerdegegnerin errechnete relevante durchschnittliche Einkommen von Fr. 68Â208.--, welches in Anwendung der Teilrentenskala 12 zu der zugesprochenen monatlichen Altersrente von Fr. 577.- fÃ¼hrt, wird von der BeschwerdefÃ¼hrerin weder hinsichtlich des erzielten Einkommens noch der Berechnung der Ãbergangsgutschrift in der HÃ¶he durchschnittlich Fr. 22Â408.- (vgl. Urk. 7/68/4) gerÃ¼gt.</w:t>
      </w:r>
    </w:p>
    <w:p>
      <w:r>
        <w:t>Â Â Â Â Â Â Â Â  Die BeschwerdefÃ¼hrerin bestreitet jedoch die Angemessenheit der fÃ¼r die Jahre 2001 bis 2007 vorgenommenen Einkommensteilung, da sie bereits seit 1. MÃ¤rz 2003 von ihrem verstorbenen Ehemann getrennt gelebt und seither Quellensteuer bezahlt und ihren Lebensunterhalt selber bestritten habe. Zudem sei Y.___ auch bis zur Trennung aufgrund seines Alkoholkonsums nicht in der Lage gewesen, einer BeschÃ¤ftigung nachzugehen und tatsÃ¤chliches Einkommen zu erzielen, was aus den Unterlagen ersichtlich sei, habe er doch lediglich den Mindestbeitrag fÃ¼r SelbstÃ¤ndigerwerbende entrichtet. Bei der Scheidung im Jahr 2008 sei es auf Wunsch ihres verstorbenen Exmannes zu einer ÂNull-LÃ¶sungÂ gekommen, habe er doch eine nicht unerhebliche Erbschaft angetreten (Urk. 1).</w:t>
      </w:r>
    </w:p>
    <w:p>
      <w:r>
        <w:t>2.2.2Â Â  Die Vorschriften Ã¼ber die Berechnung der Renten der Alters- und Hinterlassenenversicherung sind abgesehen vom hier nicht interessierenden Art. 52f Abs. 2 bis AHVV (Anrechnung von Erziehungsgutschriften bei geschiedenen oder unverheirateten Eltern, denen die elterliche Sorge gemeinsam zusteht) einer Vereinbarung grundsÃ¤tzlich nicht zugÃ¤nglich. Es handelt sich hiebei um zwingendes Recht. Die Regelung der Nebenfolgen einer Scheidung ist somit fÃ¼r die Rentenberechnung ohne Bedeutung. Der gegenseitige Verzicht der Ehegatten auf nacheheliche Unterhaltsleistungen und auf Leistungen im Hinblick auf die Altersvorsorge im Rahmen der 2. SÃ¤ule (vgl. Art. 122 ff. des Schweizerischen Zivilgesetzbuches), soweit scheidungsrechtlich zulÃ¤ssig (SJ 2002 I S. 540 Erw. 4b), hat daher nicht zur Folge, dass bei Eintritt des Versicherungsfalles (Alter oder Tod) die Renten ohne Einkommenssplitting zu berechnen wÃ¤ren. Das muss umso mehr gelten, als die Rechtsfolgen eines solchen Verzichts in der Regel nicht oder zumindest kaum je in ihrer ganzen Tragweite absehbar sind. An AHV-Berechnungsvorschriften derogierende Scheidungsvereinbarungen wÃ¤ren mithin noch strengere Anforderungen zu stellen als bei einem Verzicht auf Versicherungsleistungen im Bereich der AHV und IV (vgl. dazu BGE 129 V 1).</w:t>
      </w:r>
    </w:p>
    <w:p>
      <w:r>
        <w:t>Â Â Â Â Â Â Â Â  Die Vorschriften zur Teilung und gegenseitigen je hÃ¤lftigen Anrechnung der wÃ¤hrend der Kalenderjahre der gemeinsamen Ehe erzielten Einkommen geschiedener Eheleute bilden nach dem Gesagten zwingendes Recht. Relevanter Zeitpunkt des Einkommenssplittings ist die Rechtskraft des Scheidungsurteils, unabhÃ¤ngig von einer vorherigen (gerichtlichen) Trennung. GrundsÃ¤tzlich profitiert mithin der finanziell schwÃ¤chere Ehegatte - auch der getrennt lebende - leistungsseitig vom hÃ¶heren (rentenbildenden) Einkommen des andern Ehegatten (Art. 29 quinquies Abs. 3 lit. c AHVG; vgl. BGE 131 V 1; Urteil des Bundesgerichts 9C_518/2008 vom 29. August 2008 E. 2.2).</w:t>
      </w:r>
    </w:p>
    <w:p>
      <w:r>
        <w:t>2.2.3Â Â  FÃ¼r den hier zu beurteilenden Fall bedeutet dies, dass im Rahmen der Einkommensteilung gemÃ¤ss Art. 29 quinquies Abs. 3 und 4 AHVG weder die Trennung der BeschwerdefÃ¼hrerin von ihrem Ehemann im Jahr 2003 zu berÃ¼cksichtigen ist, noch dass die Eheleute im Rahmen der Scheidung auf gegenseitige UnterhaltsansprÃ¼che verzichteten. Ebenfalls unerheblich fÃ¼r die Frage, ob und welche Einkommen gesplittet werden, bleibt die Aufteilung der ehelichen Pflichten und Aufgaben wÃ¤hrend gelebter Ehe und dass der 2010 verstorbene Y.___ gemÃ¤ss Angaben der BeschwerdefÃ¼hrerin infolge seines Alkoholkonsums nicht in der Lage gewesen sei, tatsÃ¤chlich einer ErwerbstÃ¤tigkeit nachzugehen, respektive die ÂSelbstÃ¤ndigkeitÂ nur Mittel zum Zweck gewesen sei, um seine Trunksucht zu befriedigen (Urk. 1), war er doch in den fÃ¼r die Einkommensteilung massgeblichen Jahren 2001 bis 2007 (Art. 50b Abs. 3 AHVV) unbestrittenermassen in der Schweizerischen AHV versichert, was als Voraussetzung fÃ¼r die Teilung im Splittingfall genÃ¼gt (Art. 50b Abs. 2 AHVV).</w:t>
      </w:r>
    </w:p>
    <w:p>
      <w:r>
        <w:t>Â Â Â Â Â Â Â Â  Ob und inwieweit die BeschwerdefÃ¼hrerin ihren Ex-Mann bei seiner selbstÃ¤ndigen ErwerbstÃ¤tigkeit finanziell unterstÃ¼tzt hat, ist in diesem Zusammenhang unbeachtlich, zumal gemÃ¤ss Art. 29 quinquies Abs. 1 AHVG bei erwerbstÃ¤tigen Personen nur die Einkommen fÃ¼r die Rentenberechnung berÃ¼cksichtigt werden, auf denen tatsÃ¤chlich BeitrÃ¤ge bezahlt wurden. Die AusfÃ¼hrungen der BeschwerdefÃ¼hrerin bilden denn auch keinen Anlass fÃ¼r eine Kontenberichtigung gemÃ¤ss Art. 141 Abs. 3 AHVV, setzt doch eine Berichtigung im Zeitpunkt des Versicherungsfalles den vollen Beweis fÃ¼r die Unrichtigkeit oder den Nachweis der offenkundigen Unrichtigkeit voraus (obige E. 1.5), wofÃ¼r Anhaltspunkte fehlen.</w:t>
      </w:r>
    </w:p>
    <w:p>
      <w:r>
        <w:t>Â Â Â Â Â Â Â Â  Da die Rentenberechnung im Ãbrigen nicht beanstandet wird und aufgrund der Akten keine Hinweise auf eine Fehlerhaftigkeit derselben bestehen, erweist sich der Einspracheentscheid vom 17. Juni 2011 als richtig,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