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AB.2011.00005 vom 24. September 2012</w:t>
      </w:r>
    </w:p>
    <w:p>
      <w:r>
        <w:t>ZH Sozialversicherungsgericht, 2012-09-24, DE</w:t>
      </w:r>
    </w:p>
    <w:p>
      <w:r>
        <w:rPr>
          <w:b/>
        </w:rPr>
        <w:t xml:space="preserve">Quelle: </w:t>
      </w:r>
      <w:r>
        <w:t>https://mcp.opencaselaw.ch/entscheid/zh_sozialversicherungsgericht_AB.2011.00005</w:t>
      </w:r>
    </w:p>
    <w:p>
      <w:r>
        <w:t>FR: ZH_SOZIALVERSICHERUNGSGERICHT AB.2011.00005 du 24 septembre 2012</w:t>
      </w:r>
    </w:p>
    <w:p>
      <w:r>
        <w:t>IT: ZH_SOZIALVERSICHERUNGSGERICHT AB.2011.00005 del 24 settembre 2012</w:t>
      </w:r>
    </w:p>
    <w:p>
      <w:pPr>
        <w:pStyle w:val="Heading2"/>
      </w:pPr>
      <w:r>
        <w:t>Erwägungen</w:t>
      </w:r>
    </w:p>
    <w:p>
      <w:r>
        <w:rPr>
          <w:b/>
        </w:rPr>
        <w:t>E. 3</w:t>
      </w:r>
    </w:p>
    <w:p>
      <w:r>
        <w:t>3.1Â Â Â Â  Die Beschwerdegegnerin stÃ¼tzte sich auf die vom 22. Dezember 2007 datierende Steuermeldung (Urk. 7/1/1-3) sowie die BestÃ¤tigung des kantonalen Steueramtes vom 26. Februar 2008 (Urk. 7/6/1), wonach der Gewinn aus dem Verkauf der Liegenschaft als Gewinn aus GeschÃ¤ftsvermÃ¶gen zu qualifizieren und die Steuerveranlagung rechtskrÃ¤ftig sei (Urk. 2 S. 2 f.).</w:t>
      </w:r>
    </w:p>
    <w:p>
      <w:r>
        <w:t>3.2Â Â Â Â  DemgegenÃ¼ber vertrat der BeschwerdefÃ¼hrer zur Hauptsache den Standpunkt (Urk. 1 und 7/10/1-3), bei der fraglichen Liegenschaft habe es sich immer um privates VermÃ¶gen und damit um AHV-beitragsfreien Ertrag gehandelt, weshalb auch der mit der EigentumsÃ¼bertragung auf Z.___ resultierende Gewinn einen privaten Kapitalgewinn darstelle. Er sei seit dem 1. Januar 1993 nicht mehr als LiegenschaftenhÃ¤ndler bei der Ausgleichskasse erfasst und der Ertrag der Liegenschaft in B.___ sei in all den Jahren nie als selbstÃ¤ndiges Erwerbseinkommen der AHV-Beitragspflicht unterworfen gewesen. Den seine Einsprache abweisenden Steuerentscheid habe er nicht weitergezogen, da ihm dessen AHV-rechtlichen Konsequenzen nicht bewusst gewesen seien.</w:t>
      </w:r>
    </w:p>
    <w:p>
      <w:r>
        <w:rPr>
          <w:b/>
        </w:rPr>
        <w:t>E. 4</w:t>
      </w:r>
    </w:p>
    <w:p>
      <w:r>
        <w:t>4.1Â Â Â Â  Streitig und zu prÃ¼fen ist, ob der mit dem Verkauf des Eigentumsanteils an der Liegenschaft A.___ in B.___ erzielte Gewinn von Fr. 216Â889.-- als geschÃ¤ftsmÃ¤ssig und damit als Einkommen aus selbstÃ¤ndiger ErwerbstÃ¤tigkeit zu qualifizieren ist oder beitragsfreier Gewinn aus privater VermÃ¶gensverwaltung darstellt.</w:t>
      </w:r>
    </w:p>
    <w:p>
      <w:r>
        <w:t>4.2Â Â Â Â  Unbestritten steht nach der Aktenlage fest, dass der BeschwerdefÃ¼hrer allein oder hauptsÃ¤chlich zusammen mit Z.___, einem ehemaligen Freund der Familie, im Rahmen einer einfachen Gesellschaft GrundstÃ¼ckkÃ¤ufe tÃ¤tigte, sei es dass Land erworben, Ã¼berbaut und die betreffenden Liegenschaften wieder verkauft wurden, sei es, dass bestehende Liegenschaften gekauft und nach einem Umbau wieder verÃ¤ussert wurden (Urk. 3/2, 3/3 und 7/7/4). Diese Kaufs- und VerkaufstÃ¤tigkeit fand schwergewichtig zwischen 1985 und 1995 statt (Urk. 3/2, 3/3 und 7/6/4). Zwischen 1987 und 1992 war der BeschwerdefÃ¼hrer daher bei der Beschwerdegegnerin als LiegenschaftenhÃ¤ndler erfasst und rechnete in dieser Eigenschaft erzieltes selbstÃ¤ndiges Erwerbseinkommen ab (Urk. 2 S. 1 in Verbindung mit Urk. 7/11/8; Urk. 7/10/2-3).</w:t>
      </w:r>
    </w:p>
    <w:p>
      <w:r>
        <w:t>4.3Â Â Â Â  Allein aus der Tatsache, dass sich der BeschwerdefÃ¼hrer mit Z.___ zu einer einfachen Gesellschaft zusammengeschlossen hat, ist nicht ohne Weiteres der Schluss zu ziehen ist, es liege geschÃ¤ftsmÃ¤ssiger Handel vor (vgl. Urteil des Bundesgerichts 9C_1057/2010 vom 24. MÃ¤rz 2011, E. 3.1 und 3.2 [AusfÃ¼hrungen betreffend Baukonsortium]). Vielmehr ist gegebenenfalls bezÃ¼glich jeder einzelnen Liegenschaft zu prÃ¼fen, ob es sich allenfalls nur um private VermÃ¶gensverwaltung handelt.</w:t>
      </w:r>
    </w:p>
    <w:p>
      <w:r>
        <w:t>Â Â Â Â Â Â Â Â  Aus der Zusammenstellung der gehandelten Objekte (Urk. 7/6/4), welche der BeschwerdefÃ¼hrer selber als unvollstÃ¤ndig bezeichnete und ergÃ¤nzte (Urk. 3/3), geht hervor, dass die verschiedenen Liegenschaften in der Regel zwischen drei und vier Jahren, hÃ¶chstens aber sechs bis acht Jahre im Eigentum der einfachen Gesellschaft X.___ und Z.___ oder des BeschwerdefÃ¼hrers allein standen. Dabei ergibt sich bereits aus dieser Zusammenstellung, dass die Liegenschaft A.___ in B.___, welche im Jahre 1984 erworben worden war, sich bis zum 15. April 2004, mithin 20 Jahre im Gesamteigentum der Gesellschafter befand (Urk. 7/3/16 und 7/6/4). Mit Bezug auf diese Liegenschaft hat also nie eine HandÃ¤nderung stattgefunden. Der BeschwerdefÃ¼hrer hat denn auch bei der Ãbertragung seines Anteils an Z.___ weder seine Berufskenntnisse als Architekt eingesetzt, noch sich auf dem offenen Liegenschaftenmarkt nach einem mÃ¶glichst gewinntrÃ¤chtigen GeschÃ¤ft umgesehen, hÃ¤tte er doch nach eigenen, unbestritten gebliebenen Angaben fÃ¼r seinen Anteil ohne Weiteres einen hÃ¶heren Preis lÃ¶sen kÃ¶nnen (Urk. 7/10/2). Daher fallen Merkmale, welche in der Regel fÃ¼r die Annahme eines gewinnorientierten und geschÃ¤ftsmÃ¤ssig begrÃ¼ndeten Gewinns sprechen, wie Anzahl von HandÃ¤nderungen, kurze Besitzesdauer und AusnÃ¼tzen der eigenen Berufskenntnisse, vorliegend ausser Betracht.</w:t>
      </w:r>
    </w:p>
    <w:p>
      <w:r>
        <w:t>Â Â Â Â Â Â Â Â  Wenn dem im Einspracheverfahren ergangenen Entscheid des Steueramtes vom 9. MÃ¤rz 2007 zu entnehmen ist, die erhebliche Fremdbelastung der Liegenschaft sei auffallend (Urk. 7/6/4-5), so ist festzuhalten, dass im Steuerentscheid auf den per Ende 1988 ausgewiesenen Buchwert in der HÃ¶he von Fr. 891Â453.-- abgestellt und diesem eine Hypothek im Betrag von Fr. 1Â050Â000.-- mit dem Vermerk, in den Anlagekosten seien Aufwendungen von Fr. 620Â000.-- enthalten, gegenÃ¼bergestellt wurde. Massgebend bei der Frage des Fremdmitteleinsatzes ist jedoch der (nicht bekannte) Verkehrswert des Objekts (Urteils des Bundesgerichts H 185/03 vom 24. MÃ¤rz 2004, E. 10.1). Im Zeitpunkt der Ãbertragung des Eigentums auf Z.___ bestanden Grundpfandrechte in der HÃ¶he von Fr. 1Â310Â000.-- (Urk. 7/3/13), wobei sich der BeschwerdefÃ¼hrer als Zedent an die vereinbarte EntschÃ¤digung von Fr. 775Â000.-- SchuldÃ¼bernahmen durch Z.___ im Umfang von Fr. 625Â000.-- anrechnen liess und die restlichen Fr. 150Â000.-- bar zu bezahlen waren (Urk. 7/3/14). Infolge unbekanntem Verkehrswert der Liegenschaft im April 2004 lÃ¤sst sich somit aus den eingesetzten Fremdmitteln kein Schluss ziehen. Die ihm ausbezahlten Fr. 150Â000.-- hat der BeschwerdefÃ¼hrer zur Amortisation anderer privater Hypotheken verwendet (Urk. 7/3/1). Festzuhalten ist im Weiteren, dass die Liegenschaft in B.___, fÃ¼r welche der BeschwerdefÃ¼hrer im Jahr 2003 einen Ertrag von Fr. 50Â242.-- (hÃ¤lftiger Anteil) deklarierte, nicht als GeschÃ¤ftseinkommen der AHV-Beitragspflicht unterworfen war, was die Beschwerdegegnerin nicht in Abrede stellte.</w:t>
      </w:r>
    </w:p>
    <w:p>
      <w:r>
        <w:t>Â Â Â Â Â Â Â Â  Damit ergibt sich, dass systematisches und planmÃ¤ssiges Vorgehen mit Bezug auf die Mehrheit der Liegenschaften durchaus zu bejahen ist, was auch der BeschwerdefÃ¼hrer nicht in Abrede stellt, dass indes bezÃ¼glich der fraglichen Liegenschaft in B.___ ein solches Vorgehen in keiner Weise erkennbar ist. Es rechtfertigt sich daher, von der Steuermeldung vom 22. Dezember 2007, welche nur in der Regel fÃ¼r die Ausgleichskasse verbindlich ist, abzuweichen und von einem privaten Kapitalgewinn auszugehen, welcher nicht der AHV-Beitragspflicht unterliegt.</w:t>
      </w:r>
    </w:p>
    <w:p>
      <w:r>
        <w:t>4.3Â Â Â Â  Nach dem Gesagten ist der Einspracheentscheid vom 6. Januar 2011 aufzuheben. Das fÃ¼hrt zur Gutheissung der Beschwerde.</w:t>
      </w:r>
    </w:p>
    <w:p>
      <w:r>
        <w:t>Das Gericht erkennt:</w:t>
      </w:r>
    </w:p>
    <w:p>
      <w:r>
        <w:t>1.Â Â Â Â Â Â Â Â  In Gutheissung der Beschwerde wird der Einspracheentscheid der Sozialversicherungsanstalt des Kantons ZÃ¼rich, Ausgleichskasse, vom 6. Januar 2011 aufgehoben.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