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AB.2010.00055 vom 28. Februar 2011</w:t>
      </w:r>
    </w:p>
    <w:p>
      <w:r>
        <w:t>ZH Sozialversicherungsgericht, 2011-02-28, DE</w:t>
      </w:r>
    </w:p>
    <w:p>
      <w:r>
        <w:rPr>
          <w:b/>
        </w:rPr>
        <w:t xml:space="preserve">Quelle: </w:t>
      </w:r>
      <w:r>
        <w:t>https://mcp.opencaselaw.ch/entscheid/zh_sozialversicherungsgericht_AB.2010.00055</w:t>
      </w:r>
    </w:p>
    <w:p>
      <w:r>
        <w:t>FR: ZH_SOZIALVERSICHERUNGSGERICHT AB.2010.00055 du 28 février 2011</w:t>
      </w:r>
    </w:p>
    <w:p>
      <w:r>
        <w:t>IT: ZH_SOZIALVERSICHERUNGSGERICHT AB.2010.00055 del 28 febbraio 2011</w:t>
      </w:r>
    </w:p>
    <w:p>
      <w:pPr>
        <w:pStyle w:val="Heading2"/>
      </w:pPr>
      <w:r>
        <w:t>Erwägungen</w:t>
      </w:r>
    </w:p>
    <w:p>
      <w:r>
        <w:rPr>
          <w:b/>
        </w:rPr>
        <w:t>E. 2</w:t>
      </w:r>
    </w:p>
    <w:p>
      <w:r>
        <w:t>2.1Â Â Â Â  Streitig und zu prÃ¼fen ist, ob die Kasse zu Recht das Gesuch des BeschwerdefÃ¼hrers vom 10. Februar 2010 um Anschluss und Registrierung als SelbstÃ¤ndigerwerbender abgewiesen hat. Bei der Beantwortung dieser Streifrage ist nachfolgend vorab zu prÃ¼fen, ob das rechtliche GehÃ¶r rechtsgenÃ¼glich gewahrt wurde.</w:t>
      </w:r>
    </w:p>
    <w:p>
      <w:r>
        <w:t>2.2Â Â Â Â  Die Kasse hat weder die angefochtene VerfÃ¼gung (Urk. 7/28) noch den Einspracheentscheid (Urk. 2) den beiden potentiellen Arbeitgebern Y.___ AG und Z.___ zugestellt. Dieser Mangel wurde allein dadurch, dass die Y.___ AG dennoch am 6. April und 11. Juni 2010 (Urk. 7/30/1, Urk. 3/8) und die Z.___ am 21. Mai 2010 (Urk. 7/34/2) entsprechende Schreiben eingereicht haben respektive durch den BeschwerdefÃ¼hrer einreichen liessen, nicht geheilt. Denn aufgrund dieser Schreiben hatte die Z.___ keine und die Y.___ AG jedenfalls keine gesicherte Kenntnis vom angefochtenen Einspracheentscheid (Urk. 2). In Anbetracht der formellen Natur des rechtlichen GehÃ¶rs ist die Sache deshalb an die Kasse zurÃ¼ckzuweisen, damit das rechtliche GehÃ¶r gewahrt werde. Dieses Vorgehen ist auch deshalb angezeigt, da die Sache auch aus weiteren GrÃ¼nden an die BeschwerdefÃ¼hrerin zurÃ¼ckzuweisen ist (Erw. 2.3).</w:t>
      </w:r>
    </w:p>
    <w:p>
      <w:r>
        <w:t>2.3Â Â Â Â  Die BegrÃ¼ndung im angefochtenen Entscheid (Urk. 2) entspricht nicht den rechtsprechungsgemÃ¤ssen Anforderungen (Erw. 1.2-3). Denn abgesehen vom Hinweis, wonach der BeschwerdefÃ¼hrer nicht Ã¼ber eigene GeschÃ¤ftsrÃ¤ume verfÃ¼ge und sich sein Wohnsitz offenbar an der GeschÃ¤ftsadresse der Z.___ befinde, geht die Kasse in diesem Entscheid nicht nÃ¤her auf die konkreten UmstÃ¤nde ein. Eine WÃ¼rdigung der gesamten UmstÃ¤nde des Einzelfalles, wie es die Rechtsprechung bei der Beurteilung der Statusfrage verlangt (Erw. 1.2), lÃ¤sst sich dem Entscheid deshalb nicht entnehmen. In diesem Zusammenhang ist auch darauf hinzuweisen, dass fÃ¼r typische DienstleistungstÃ¤tigkeiten hÃ¤ufig keine besonderen Investitionen anfallen, weshalb das Unternehmerrisiko als eines der praxisgemÃ¤ss heranzuziehenden Unterscheidungsmerkmale bei der Qualifikationsfrage in den Hintergrund tritt (Urteil des EidgenÃ¶ssischen Versicherungsgerichts [heute: Bundesgericht] in Sachen A. AG und B. vom 19. Mai 2005, H 77/04, Erw. 3.2). Entgegen der Rechtsprechung (Urteil des Bundesgerichts in Sachen G. vom 5. Oktober 2010, 9C_650/2010, Erw. 2.2) unterschied die Beschwerdegegnerin bei ihrer BegrÃ¼ndung zudem nicht zwischen der TÃ¤tigkeit des BeschwerdefÃ¼hrers im Zusammenhang mit der Z.___ und derjenigen mit der Y.___ AG. Auf die konkreten EinwÃ¤nde der Y.___ AG (Schreiben der Y.___ AG vom 6. April und 11. Juni 2010, Urk. 7/30/1 und Urk. 3/8) ist sie in der BegrÃ¼ndung nicht eingegangen. Ein in den Akten liegender Vertrag des BeschwerdefÃ¼hrers mit der Z.___ vom 3. Januar 2007 (Urk. 7/12/3-5) blieb bei der Beurteilung unberÃ¼cksichtigt. Obwohl der BeschwerdefÃ¼hrer bei seiner Anmeldung vom 10. Februar 2010 (Urk. 7/23/1-4) angab, auch einen Vertrag mit der Y.___ AG zu haben, blieb dieser bei der Beurteilung der Streitfrage ebenfalls unberÃ¼cksichtigt. Somit wurde der Sachverhalt nicht rechtsgenÃ¼glich abgeklÃ¤rt.</w:t>
      </w:r>
    </w:p>
    <w:p>
      <w:r>
        <w:t>Â Â Â Â Â Â Â Â  Der von der Beschwerdegegnerin in diesem Zusammenhang erhobene Hinweis (Urk. 2), wonach in antizipierter BeweiswÃ¼rdigung gestÃ¼tzt auf die bisher gefÃ¼hrte Korrespondenz davon auszugehen sei, dass mit Ã¼berwiegender Wahrscheinlichkeit keine weiteren sachdienlichen Unterlagen eingereicht worden wÃ¤ren, sodass auf eine Weiterung des Verfahrens verzichtet werden kÃ¶nne, ist nicht stichhaltig. Der BeschwerdefÃ¼hrer wies bereits in seiner Anmeldung vom 10. Februar 2010 auf die Vertragsgrundlagen seiner TÃ¤tigkeiten hin (Urk. 7/23/1-5) und reichte in der Folge weitere Angaben zu seinen TÃ¤tigkeiten ein, unter Beilegung von Stellungnahmen der betroffenen Firmen (Urk. 7/27/1, Urk. 7/30/1, Urk. 7/31, 7/34/1-2). Auf die von der Kasse angesetzte Frist vom 7. Mai 2010 fÃ¼r die Einreichung einer nachgebesserten Einsprache reagierte er rechzeitig (Urk. 7/34/1). Gleichzeitig wies er darauf hin, er sei kein Jurist und wisse nicht, was er der Kasse (noch) liefern solle. Unter diesen UmstÃ¤nden kann nicht einfach gesagt werden, der BeschwerdefÃ¼hrer werde mit Ã¼berwiegender Wahrscheinlichkeit keine weiteren sachdienlichen Unterlagen einreichen, zumal im bisherigen Verfahren noch keine konkrete Beweisauflage ergangen ist. Vielmehr widerspricht dieses Vorgehen Art. 43 Abs. 3 ATSG, wonach vor Erlass eines Aktenentscheids ein rechtsgenÃ¼gliches Mahn- und Bedenkzeitverfahren durchzufÃ¼hren ist. Dies wurde im bisherigen Verfahren unterlassen.</w:t>
      </w:r>
    </w:p>
    <w:p>
      <w:r>
        <w:t>2.4Â Â Â Â  Nach dem Gesagten ist die Sache an die Beschwerdegegnerin zurÃ¼ckzuweisen, damit sie im Sinne der ErwÃ¤gungen den massgebenden Sachverhalt nÃ¤her abklÃ¤re und hernach darÃ¼ber unter Wahrung des rechtlichen GehÃ¶rs neu verfÃ¼ge. Damit kann vorliegend von einer Beiladung der potentiellen Arbeitgeber abgesehen werden. In diesem Sinne ist die Beschwerde gutzuheissen.</w:t>
      </w:r>
    </w:p>
    <w:p>
      <w:r>
        <w:t>Das Gericht erkennt:</w:t>
      </w:r>
    </w:p>
    <w:p>
      <w:r>
        <w:t>1.Â Â Â Â Â Â Â Â  Die Beschwerde wird in dem Sinne gutgeheissen, dass der angefochtene Einspracheentscheid vom 28. Mai 2010 aufgehoben und die Sache an die Sozialversicherungsanstalt des Kantons ZÃ¼rich, Ausgleichskasse, zurÃ¼ckgewiesen wird, damit diese nach erfolgter AbklÃ¤rung im Sinne der ErwÃ¤gungen neu verfÃ¼ge.</w:t>
      </w:r>
    </w:p>
    <w:p>
      <w:r>
        <w:t>2.Â Â Â Â Â Â Â Â  Das Verfahren ist kostenlos.</w:t>
      </w:r>
    </w:p>
    <w:p>
      <w:r>
        <w:t>3.Â Â 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