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AB.2007.00081 vom 3. August 2009</w:t>
      </w:r>
    </w:p>
    <w:p>
      <w:r>
        <w:t>ZH Sozialversicherungsgericht, 2009-08-03, DE</w:t>
      </w:r>
    </w:p>
    <w:p>
      <w:r>
        <w:rPr>
          <w:b/>
        </w:rPr>
        <w:t xml:space="preserve">Quelle: </w:t>
      </w:r>
      <w:r>
        <w:t>https://mcp.opencaselaw.ch/entscheid/zh_sozialversicherungsgericht_AB.2007.00081</w:t>
      </w:r>
    </w:p>
    <w:p>
      <w:r>
        <w:t>FR: ZH_SOZIALVERSICHERUNGSGERICHT AB.2007.00081 du 3 août 2009</w:t>
      </w:r>
    </w:p>
    <w:p>
      <w:r>
        <w:t>IT: ZH_SOZIALVERSICHERUNGSGERICHT AB.2007.00081 del 3 agosto 2009</w:t>
      </w:r>
    </w:p>
    <w:p>
      <w:pPr>
        <w:pStyle w:val="Heading2"/>
      </w:pPr>
      <w:r>
        <w:t>Erwägungen</w:t>
      </w:r>
    </w:p>
    <w:p>
      <w:r>
        <w:rPr>
          <w:b/>
        </w:rPr>
        <w:t>E. 2</w:t>
      </w:r>
    </w:p>
    <w:p>
      <w:r>
        <w:t>Â Â Â Â Â Â Â Â  Dagegen erhoben die X.___ sowie Y.___, beide vertreten durch Rechtsanwalt Peter Jucker, mit gemeinsamer Eingabe vom 9. Oktober 2007 hierorts Beschwerde mit den folgenden Rechtsbegehren (Urk. 1) :</w:t>
      </w:r>
    </w:p>
    <w:p>
      <w:r>
        <w:t>Â Â Â Â Â Â Â Â "Hauptantrag</w:t>
      </w:r>
    </w:p>
    <w:p>
      <w:r>
        <w:t>1.Â Â Â Â Â Â Â Â Â  Der Einspracheentscheid der Ausgleichskasse Grosshandel + Transithandel vom 13. September 2007 sei aufzuheben und festzustellen, dass die BeschwerdefÃ¼hrerin X.___ fÃ¼r Herrn Y.___ fÃ¼r den Zeitraum 1.3.2004 bis 28.2.2007 keine AHV-BeitrÃ¤ge schuldet, bzw. auf die Erhebung der AHV-BeitrÃ¤ge auf den Ãbergangsrenten von Y.___ sei zu verzichten.</w:t>
      </w:r>
    </w:p>
    <w:p>
      <w:r>
        <w:t>Â Â Â Â Â Â Â Â Â Â  Eventualantrag</w:t>
      </w:r>
    </w:p>
    <w:p>
      <w:r>
        <w:t>2.Â Â Â Â Â Â Â Â Â  FÃ¼r den Fall, dass das Sozialversicherungsgericht dem Hauptantrag nicht stattgeben kann, seien die von Y.___ im gleichen Zeitraum entrichteten AHV-BeitrÃ¤ge anzurechnen, bzw. von den der BeschwerdefÃ¼hrerin auferlegten zu subtrahieren, es seien somit hÃ¶chstens CHF 19'165.85 an AHV-BeitrÃ¤gen der BeschwerdefÃ¼hrerin aufzuerlegen.</w:t>
      </w:r>
    </w:p>
    <w:p>
      <w:r>
        <w:t>Â Â Â Â Â Â Â Â Â Â  Unter EntschÃ¤digungsfolgen zu Lasten der Beschwerdegegnerin."</w:t>
      </w:r>
    </w:p>
    <w:p>
      <w:r>
        <w:t>Â Â Â Â Â Â Â Â  Mit Vernehmlassung vom 21. Januar 2008 beantragte die Ausgleichskasse, vertreten durch Rechtsanwalt Dr. H. Ortenburger, die Abweisung der Beschwerde in Bezug auf den Hauptantrag beziehungsweise Nichteintreten auf das Eventualbegehren (Urk. 12). Mit GerichtsverfÃ¼gung vom 23. Januar 2008 wurde der Schriftenwechsel geschlossen (Urk. 14).</w:t>
      </w:r>
    </w:p>
    <w:p>
      <w:r>
        <w:t>Das Gericht zieht in ErwÃ¤gung:</w:t>
      </w:r>
    </w:p>
    <w:p>
      <w:r>
        <w:t>1.Â Â Â Â Â Â</w:t>
      </w:r>
    </w:p>
    <w:p>
      <w:r>
        <w:t>1.1Â Â Â Â  Die angefochtenen Einspracheentscheide vom 13. September 2007 beziehungsweise die diesen zugrunde liegenden NachtragsverfÃ¼gungen vom 6. MÃ¤rz 2007 haben ausschliesslich die Nachzahlung von paritÃ¤tischen BeitrÃ¤gen betreffend das Jahr 2004 zum Gegenstand. Wenn die BeschwerdefÃ¼hrenden mit ihrem Hauptbegehren den Antrag stellen, es sei der angefochtene Einspracheentscheid aufzuheben und festzustellen, dass die BeschwerdefÃ¼hrerin X.___ fÃ¼r Y.___ fÃ¼r den Zeitraum von 1. MÃ¤rz 2004 bis 28. Februar 2007 keine AHV-BeitrÃ¤ge schulde, ist darauf - soweit damit die Beitragspflicht fÃ¼r die Jahre 2005 bis 2007 bestritten wird - mangels Vorliegen eines entsprechenden Anfechtungsobjekts nicht einzutreten (vgl. BGE 131 V 164 E. 2.1; 125 V 413 E. 1a S. 414). Ãberdies kÃ¶nnte dem Begehren um Erlass eines entsprechenden Feststellungsentscheides nicht entsprochen werden, liegen doch die rechtsprechungsgemÃ¤ssen Voraussetzungen fÃ¼r das Ergehen eines solchen im vorliegenden Fall nicht vor (vgl. analog zum schÃ¼tzenswerten Interesse am Erlass von FeststellungsverfÃ¼gungen BGE 129 V 290 Erw. 2.1, 126 II 303 Erw. 2c, 121 V 317 Erw. 4a).</w:t>
      </w:r>
    </w:p>
    <w:p>
      <w:r>
        <w:t>1.2Â Â Â Â  Nach Art. 5 Abs. 1 und Art. 14 Abs. 1 des Bundesgesetzes Ã¼ber die Alters- und Hinterlassenenversicherung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GrundsÃ¤tzlich unterliegen nur EinkÃ¼nfte, die tatsÃ¤chlich geflossen sind, der Beitragspflicht (BGE 133 V 555 E. 4 S. 558).</w:t>
      </w:r>
    </w:p>
    <w:p>
      <w:r>
        <w:t>1.3Â Â Â Â  Zu dem fÃ¼r die Berechnung der BeitrÃ¤ge massgebenden Lohn gehÃ¶ren, soweit sie nicht UnkostenentschÃ¤digungen darstellen, unter anderem insbesondere Leistungen des Arbeitgebers bei Beendigung des ArbeitsverhÃ¤ltnisses, soweit sie nicht im Sinne von Art. 8 ter der Verordnung Ã¼ber die Alters- und Hinterlassenenversicherung (AHVV) vom massgebenden Lohn ausgenommen sind (Art. 7 lit. q Satz 1 AHVV). Art. 8 ter AHVV zÃ¤hlt in Abs. 1 verschiedene Leistungen bis zur HÃ¶he von acht MonatslÃ¶hnen auf, welche vom massgebenden Lohn ausgenommen sind, worunter unter anderem auch Leistungen im Rahmen einer Vorruhestandsregelung des Arbeitgebers (lit. c) gehÃ¶ren.</w:t>
      </w:r>
    </w:p>
    <w:p>
      <w:r>
        <w:t>2.Â Â Â Â Â Â</w:t>
      </w:r>
    </w:p>
    <w:p>
      <w:r>
        <w:t>2.1Â Â Â Â  Streitig und zu prÃ¼fen ist, ob die nach Angaben im ErgÃ¤nzungsbericht der Revisionsstelle der Ausgleichskassen vom 15. September 2006 im Jahr 2004 an Y.___ ausgerichtete und nicht bescheinigte "ÃberbrÃ¼ckungsrente" (vgl. Urk. 3/4 und [Sammel-]Urk. 13/1) als massgebenden Lohn zu qualifizieren ist.</w:t>
      </w:r>
    </w:p>
    <w:p>
      <w:r>
        <w:t>2.2Â Â Â Â  Die Ausgleichskasse hatte zur BegrÃ¼ndung der Beitragspflicht in ihrem Einspracheentscheid im Wesentlichen ausgefÃ¼hrt, Entgelte des Arbeitgebers oder einer ihm nahestehenden Institution gehÃ¶rten im Falle der vollstÃ¤ndigen oder teilweisen Beendigung des ArbeitsverhÃ¤ltnisses grundsÃ¤tzlich zum massgebenden Lohn. Das Gesetz erlaube lediglich eine Ausnahme fÃ¼r Leistungen mit Sozialcharakter; die Ausnahmen seien in Art. 8 ter AHVV abschliessend aufgefÃ¼hrt. Nach den zu berÃ¼cksichtigenden Verwaltungsweisungen setze die Annahme einer Vorruhestandsregelung im Sinne von Art. 8 ter Abs. 1 lit. c AHVV unter anderem voraus, dass keine individuelle Massnahme getroffen worden sei. Diese Voraussetzung sei im vorliegenden Fall nicht erfÃ¼llt, weshalb massgebender Lohn anzunehmen sei (vgl. Urk. 2/1 und Urk. 2/2; vgl. auch Urk. 12).</w:t>
      </w:r>
    </w:p>
    <w:p>
      <w:r>
        <w:t>2.3Â Â Â Â Â Â Â Â  Dagegen lassen die BeschwerdefÃ¼hrenden vor allem vorbringen, die Entrichtung der Ãbergangsrente sei aus dem Fonds fÃ¼r Zusatzleistungen der Wohlfahrtsstiftung A.___ erfolgt. Damit handle es sich um Leistungen im Rahmen der beruflichen Vorsorge und insbesondere nicht um Leistungen des Arbeitgebers. Zu bemerken sei sodann, dass der "richtige" Arbeitgeber die A.___ und nicht die X.___ sei; jedenfalls habe die X.___ die nun mit AHV-BeitrÃ¤gen belegten Zahlungen nicht finanziert und sei schon daher nicht verpflichtet, darauf AHV-BeitrÃ¤ge zu entrichten. Selbst wenn von einer Leistung des Arbeitgebers gesprochen werden mÃ¼sste, handelte es sich um eine solche bei Beendigung des ArbeitsverhÃ¤ltnisses, die im Sinne von Art. 8 ter AHVV vom massgebenden Lohn ausgenommen sei (Urk. 1).</w:t>
      </w:r>
    </w:p>
    <w:p>
      <w:r>
        <w:t>3.Â Â Â Â Â Â</w:t>
      </w:r>
    </w:p>
    <w:p>
      <w:r>
        <w:t>3.1Â Â Â Â  In seinem Urteil vom 21. Oktober 2008 (9C_435/2008) hat das Bundesgericht hinsichtlich Leistungen, die von einer Wohlfahrtseinrichtung erbracht worden waren, um KÃ¼rzungen der von der Personalvorsorgestiftung einer Arbeitgeberin erbrachten reglementarischen Altersrenten aufgrund der vorzeitigen Pensionierung der betroffenen Mitarbeiter zu vermeiden, Folgendes ausgefÃ¼hrt:</w:t>
      </w:r>
    </w:p>
    <w:p>
      <w:r>
        <w:t>"3.1Â  Wie die Vorinstanz zutreffend bemerkt, gibt es keine PrÃ¤judizien, welche die Beitragspflicht auf Leistungen bejahen, die von mit dem Arbeitgeber nicht identischen Vorsorgeeinrichtungen erbracht wurden. Ebenso wenig finden sich in Art. 7 lit. q und Art. 8ter Abs. 1 lit. c AHVV Hinweise darauf, dass sich die Beitragspflicht auf Zahlungen von Vorsorgeeinrichtungen erstrecken soll.</w:t>
      </w:r>
    </w:p>
    <w:p>
      <w:r>
        <w:t>3.2Â  Von entscheidender Bedeutung ist, dass sowohl der Begriff des massgebenden Lohnes gemÃ¤ss Art. 5 Abs. 2 AHVG (BGE 113 V 556 E. 4 S. 558, 131 V 444 E. 1.1 S. 446) als auch Art. 7 lit. q AHVV unmissverstÃ¤ndlich an das ArbeitsverhÃ¤ltnis anknÃ¼pfen. Art. 7 lit. q AHVV spricht sogar ausdrÃ¼cklich von Leistungen des Arbeitgebers. Davon, dass Art. 7 lit. q und 8ter AHVV Leistungen des Arbeitgebers betreffen, ging im Ãbrigen auch das BSV in seinen ErlÃ¤uterungen zu diesen neu gefassten Bestimmungen bei deren Inkrafttreten am 1. Januar 2001 aus (AHI 2000 S. 254 f.). Somit lassen weder der Gesetzeswortlaut noch der Verordnungstext Raum fÃ¼r die Annahme, beitragspflichtige Entgelte aus unselbstÃ¤ndiger ErwerbstÃ¤tigkeit lÃ¤gen auch vor, wenn sie nicht von der Arbeitgeberfirma, sondern von einer Drittperson, namentlich von einer vom Arbeitgeber zu unterscheidenden Vorsorgeeinrichtung, selbst in Gestalt eines patronalen Wohlfahrtsfonds, erbracht werden."</w:t>
      </w:r>
    </w:p>
    <w:p>
      <w:r>
        <w:t>3.2Â Â Â Â  Es ist zwischen den Parteien nicht streitig und ergibt sich auch aus dem ErgÃ¤nzungsbericht der Revisionsstelle der Ausgleichskassen vom 15. September 2006 (inklusive deren Schreiben vom 16. Oktober 2006; vgl. Urk. 3/10 und etwa [Sammel-] Urk. 13/1), dass die nacherfassten Zahlungen eine Ãbergangsrente betreffen, die Y.___ infolge vorzeitiger, auf Antrag der "Firma" per 1. MÃ¤rz 2004 erfolgter Versetzung in den Ruhestand zugesprochen wurde. Die Zusprache beruhte auf einem Beschluss des Stiftungsrates der Wohlfahrtsstiftung A.___ (nachfolgend: Wohlfahrtsstiftung) vom 26. Februar 2004, wobei aus dem entsprechenden Beschlussprotokoll ersichtlich und nicht streitig ist, dass die Ãbergangsrente gestÃ¼tzt auf das Reglement des Fonds fÃ¼r Zusatzleistungen der Wohlfahrtsstiftung und somit aus diesem Fonds auszurichten war (und zwar fÃ¼r die Zeit ab dem 1. MÃ¤rz 2004 lÃ¤ngstens bis zur Erreichung des ordentlichen Terminalters [dem Datum der ordentlichen Pensionierung], d.h. bis zum 28. Februar 2007, in HÃ¶he von Fr. 100'680.-- zuzÃ¼glich AHV-Ersatzrente von Fr. 25'320.--, somit insgesamt Fr. 126'000.-- pro Jahr, auszuzahlen in monatlichen Raten von Fr. 10'500.--Â  (vgl. Urk. 3/7 sowie [Sammel-]Urk. 13/1).</w:t>
      </w:r>
    </w:p>
    <w:p>
      <w:r>
        <w:t>3.3Â Â Â Â  Soweit die BeschwerdefÃ¼hrenden geltend machen lassen, die X.___ schulde auf der fraglichen Ãbergangsrente schon daher keine BeitrÃ¤ge, als sie in diesem Zusammenhang nicht als Arbeitgeberin anzusprechen sei, ist zu bemerken, dass dieser Einwand in den Akten insoweit StÃ¼tze findet, als gemÃ¤ss dem Beschlussprotokoll des Stiftungsrates der Wohlfahrtsstiftung vom 26. Februar 2004 Y.___ Vizedirektor der "A.___" war (vgl. Urk. 3/7). Dass Y.___ Vizedirektor der (damaligen) A.___ war, entspricht sodann auch den Angaben im Handelsregister des Kantons C.___, welches Y.___ im damaligen Zeitraum (bis im Juni 2004) als Vizedirektor der A.___ (heute: B.___ ) mit Kollektivunterschrift zu zweien ausweist. Andererseits ist festzustellen, dass nach - aktenmÃ¤ssig allerdings nicht belegten - Angaben der Beschwerdegegnerin offenbar jeweils die X.___ die Lohnmeldungen hinsichtlich der an Y.___ ausbezahlten Entgelte erstattet haben soll (vgl. Einspracheentscheid S. 1) und die X.___ ihre Arbeitgebereigenschaft im Rahmen der vorliegenden Beitragsstreitigkeit jedenfalls nicht von Anfang bestritten hat (vgl. Einsprache der X.___ vom 23. Oktober 2006 in dem dem vorliegenden Prozess vorausgegangenen Verfahren, Urk. 6/3). Ob die X.___ in Bezug auf die fraglichen Entgelte tatsÃ¤chlich zu Unrecht als Arbeitgeberin angesprochen worden und nicht vielmehr die (damalige) A.___ als Arbeitgeberin anzusehen ist, lÃ¤sst sich aufgrund der vorliegenden Akten demnach nicht abschliessend feststellen. Doch kann diese Frage im vorliegenden Zusammenhang offen bleiben, da - wie nachfolgend ausgefÃ¼hrt - eine Beitragspflicht auf den fraglichen Entgelten ohnehin zu verneinen ist.</w:t>
      </w:r>
    </w:p>
    <w:p>
      <w:r>
        <w:t>3.4Â Â Â Â  Es ist unstreitig und ergibt sich namentlich aus dem vorerwÃ¤hnten Beschluss des Stiftungsrates der Wohlfahrtsstiftung A.___ vom 26. Februar 2004, dass die fragliche Ãbergangsrente als reglementarische Leistung aus dem Fonds fÃ¼r Zusatzleistungen eben dieser Wohlfahrtsstiftung zu erbringen war (vgl. Urk. 3/7, so auch der Bericht der Revisionsstelle vom 15. September 2006, Urk. 3/4). Alsdann ist aus dem Handelsregister des Kantons C.___ ersichtlich, dass die Wohlfahrtsstiftung A.___ als Stiftung (mit dem Zweck der ergÃ¤nzenden beruflichen Vorsorge) und demnach als Einrichtung mit eigener RechtspersÃ¶nlichkeit im Handelsregister eingetragen ist. Vor dem Hintergrund der in Erw. 3.1 erwÃ¤hnten Rechtsprechung ist aber entscheidend, dass die Ãbergangsrente aus dem Fonds der Wohlfahrtsstiftung entrichtet wurde, denn damit stellen die streitigen Entgelte keine Leistung des Arbeitgebers - sei es nun die A.___ oder die X.___ - sondern eine durch einen Dritten erbrachte Leistung dar. Daran vermag selbst der Umstand nichts zu Ã¤ndern, dass - worauf die Ausgleichskasse in ihrer Beschwerdeantwort hinweisen lÃ¤sst (vgl. Urk. 12 S. 2) - die Wohlfahrtsstiftung beziehungsweise deren Fonds (vollstÃ¤ndig) durch die Arbeitgeberin finanziert worden ist. Denn wie das Bundesgericht ausgefÃ¼hrt hat, lassen weder der Gesetzeswortlaut noch der Verordnungstext Raum fÃ¼r die Annahme, beitragspflichtige Entgelte aus unselbstÃ¤ndiger ErwerbstÃ¤tigkeit lÃ¤gen auch vor, wenn sie nicht von der Arbeitgeberfirma, sondern von einer Drittperson, namentlich von einer vom Arbeitgeber zu unterscheidenden Vorsorgeeinrichtung, selbst in Gestalt eines patronalen Wohlfahrtsfonds, erbracht werden (vgl. Erw. 3.1 hievor).</w:t>
      </w:r>
    </w:p>
    <w:p>
      <w:r>
        <w:t>3.5Â Â Â Â Â Â Â Â  Zusammenfassend ergibt sich demnach, dass die gestÃ¼tzt auf den Beschluss des Stiftungsrates der Wohlfahrtsstiftung A.___ vom 26. Februar 2004 an Y.___ ausgerichtete und im Rahmen der Arbeitgeberkontrolle vom 20. und 21. Juli 2006 nacherfasste Ãbergangsrente keine Arbeitgeberleistung und damit nicht massgebenden Lohn im Sinne von Art. 5 Abs. 2 AHVG darstellt. Daraus folgt, dass die fraglichen Entgelte der AHV-rechtlichen Beitragspflicht nicht unterliegen, was zur Aufhebung der angefochtenen Einspracheentscheide und demnach zur Gutheissung der dagegen erhobenen Beschwerde fÃ¼hrt.</w:t>
      </w:r>
    </w:p>
    <w:p>
      <w:r>
        <w:t>4.Â Â Â Â Â Â Â Â  AusgangsgemÃ¤ss haben die BeschwerdefÃ¼hrenden gestÃ¼tzt auf Art. 61 lit. g des Bundesgesetzes Ã¼ber den Allgemeinen Teil des Sozialversicherungsrechts in Verbindung mit Â§ 34 des Gesetzes Ã¼ber das Sozialversicherungsgericht Anspruch auf eine ProzessentschÃ¤digung. Diese ist ohne RÃ¼cksicht auf den Streitwert nach der Bedeutung der Streitsache, der Schwierigkeit des Prozesses und dem Mass des Obsiegens zu bemessen und in Anwendung dieser GrundsÃ¤tze vorliegend auf Fr. 1'100.-- (inkl. Mehrwertsteuer und Barauslagen) festzusetzen.</w:t>
      </w:r>
    </w:p>
    <w:p>
      <w:r>
        <w:t>Das Gericht erkennt:</w:t>
      </w:r>
    </w:p>
    <w:p>
      <w:r>
        <w:t>1.Â Â Â Â Â Â Â Â  Die Beschwerde wird, soweit auf sie eingetreten wird, in dem Sinne gutgeheissen, dass die Einspracheentscheide der Ausgleichskasse Grosshandel + Transithandel vom 13. September 2007 aufgehoben werden.</w:t>
      </w:r>
    </w:p>
    <w:p>
      <w:r>
        <w:t>2.Â Â Â Â Â Â Â Â  Das Verfahren ist kostenlos.</w:t>
      </w:r>
    </w:p>
    <w:p>
      <w:r>
        <w:t>3.Â Â Â Â Â Â Â Â  Die Beschwerdegegnerin wird verpflichtet, den BeschwerdefÃ¼hrenden eine ProzessentschÃ¤digung von Fr. 1'100.-- (inkl. Barauslagen und MWSt) zu bezahlen.</w:t>
      </w:r>
    </w:p>
    <w:p>
      <w:r>
        <w:t>4.Â Â Â Â Â Â Â Â Â Â  Zustellung gegen Empfangsschein an:</w:t>
      </w:r>
    </w:p>
    <w:p>
      <w:r>
        <w:t>- Rechtsanwalt Peter Jucker</w:t>
      </w:r>
    </w:p>
    <w:p>
      <w:r>
        <w:t>- Rechtsanwalt Dr. Heinz Ortenburger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