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AB.2007.00011 vom 24. Dezember 2008</w:t>
      </w:r>
    </w:p>
    <w:p>
      <w:r>
        <w:t>ZH Sozialversicherungsgericht, 2008-12-24, DE</w:t>
      </w:r>
    </w:p>
    <w:p>
      <w:r>
        <w:rPr>
          <w:b/>
        </w:rPr>
        <w:t xml:space="preserve">Quelle: </w:t>
      </w:r>
      <w:r>
        <w:t>https://mcp.opencaselaw.ch/entscheid/zh_sozialversicherungsgericht_AB.2007.00011</w:t>
      </w:r>
    </w:p>
    <w:p>
      <w:r>
        <w:t>FR: ZH_SOZIALVERSICHERUNGSGERICHT AB.2007.00011 du 24 décembre 2008</w:t>
      </w:r>
    </w:p>
    <w:p>
      <w:r>
        <w:t>IT: ZH_SOZIALVERSICHERUNGSGERICHT AB.2007.00011 del 24 dicembre 2008</w:t>
      </w:r>
    </w:p>
    <w:p>
      <w:pPr>
        <w:pStyle w:val="Heading2"/>
      </w:pPr>
      <w:r>
        <w:t>Erwägungen</w:t>
      </w:r>
    </w:p>
    <w:p>
      <w:r>
        <w:rPr>
          <w:b/>
        </w:rPr>
        <w:t>E. 3</w:t>
      </w:r>
    </w:p>
    <w:p>
      <w:r>
        <w:t>Â Â Â Â Â  Gegen diesen Einspracheentscheid liessen die X.___ sowie Y.___, Z.___, A.___ und B.___, wiederum alle vertreten durch die Swisscanto Vorsorge AG, mit Eingabe vom 15. Februar 2007 hierorts Beschwerde erheben im Wesentlichen mit dem Antrag, es sei festzustellen, dass die fraglichen Zahlungen eine reglementarisch vorgesehene Einlage des Arbeitgebers darstellten und daher nicht zum massgebenden Lohn gehÃ¶rten (vgl. Urk. 1). Mit Beschwerdeantwort vom 5. April 2007 beantragte die Ausgleichskasse die Abweisung der Beschwerde (Urk. 8). Mit GerichtsverfÃ¼gung vom 16. April 2007 wurde ein zweiter Schriftenwechsel angeordnet (Urk. 10). Mit Replik vom 9. Mai 2007 liessen die BeschwerdefÃ¼hrenden ihr Rechtsbegehren dahingehend ergÃ¤nzen, dass sie beantragten, es sei die Sache an die AHV-Ausgleichskasse zwecks Erstellung einer neuen BeitragsverfÃ¼gung, welche sich strikte an der im Jahre 2003 und 2004 gÃ¼ltig gewesenen Fassung von Abschnitt 24.1 der WML orientiere, zurÃ¼ckzuweisen (Urk. 13). Mit Duplik vom 28. Juni 2007 hielt die Ausgleichskasse im Wesentlichen an ihren AntrÃ¤gen und Vorbringen fest (Urk. 17). Daraufhin wurde der Schriftenwechsel mit GerichtsverfÃ¼gung vom 2. Juli 2007 geschlossen (Urk. 19).</w:t>
      </w:r>
    </w:p>
    <w:p>
      <w:r>
        <w:t>Â Â Â Â Â Â Â Â  Auf die einzelnen Vorbringen der Parteien sowie die eingereichten Unterlagen ist, soweit fÃ¼r die Entscheidfindung erforderlich, in den nachfolgenden ErwÃ¤gungen einzugehen.</w:t>
      </w:r>
    </w:p>
    <w:p>
      <w:r>
        <w:t>Das Gericht zieht in ErwÃ¤gung:</w:t>
      </w:r>
    </w:p>
    <w:p>
      <w:r>
        <w:t>1.Â Â Â Â Â Â</w:t>
      </w:r>
    </w:p>
    <w:p>
      <w:r>
        <w:t>1.1Â Â Â Â  Nach Art. 5 Abs. 1 und Art. 14 Abs. 1 des Bundesgesetzes Ã¼ber die Alters- und Hinterlassenenversicherung (AHVG) werden vom Einkommen aus unselbstÃ¤ndiger ErwerbstÃ¤tigkeit, dem massgebenden Lohn, BeitrÃ¤ge erhoben. Als massgebender Lohn gemÃ¤ss Art. 5 Abs. 2 AHVG gilt jedes Entgelt fÃ¼r in unselbstÃ¤ndiger Stellung auf bestimmte oder unbestimmte Zeit geleistete Arbeit. Zum massgebenden Lohn gehÃ¶ren begrifflich sÃ¤mtliche BezÃ¼ge der Arbeitnehmer, die wirtschaftlich mit dem ArbeitsverhÃ¤ltnis zusammenhÃ¤ngen, gleichgÃ¼ltig, ob dieses VerhÃ¤ltnis fortbesteht oder gelÃ¶st worden ist und ob die Leistungen geschuldet werden oder freiwillig erfolgen. Als beitragspflichtiges Einkommen aus unselbstÃ¤ndiger ErwerbstÃ¤tigkeit gilt somit nicht nur unmittelbares Entgelt fÃ¼r geleistete Arbeit, sondern grundsÃ¤tzlich jede EntschÃ¤digung oder Zuwendung, die sonstwie aus dem ArbeitsverhÃ¤ltnis bezogen wird, soweit sie nicht kraft ausdrÃ¼cklicher gesetzlicher Vorschrift von der Beitragspflicht ausgenommen ist (BGE 128 V 180 Erw. 3c, 126 V 222 Erw. 4a, 124 V 101 Erw. 2, je mit Hinweisen).</w:t>
      </w:r>
    </w:p>
    <w:p>
      <w:r>
        <w:t>1.2Â Â Â Â  Ausnahmen vom massgebenden Lohn sind in Art. 8 der Verordnung Ã¼ber die Alters- und Hinterlassenenversicherung (AHVV) vorgesehen. Nicht zum massgebenden Lohn gehÃ¶ren unter anderem nach Art. 8 lit. a AHVV reglementarische BeitrÃ¤ge des Arbeitgebers an Vorsorgeeinrichtungen, welche die Voraussetzungen der Steuerbefreiung nach dem Bundesgesetz Ã¼ber die direkte Bundessteuer (DBG) erfÃ¼llen.</w:t>
      </w:r>
    </w:p>
    <w:p>
      <w:r>
        <w:t>2.Â Â Â Â Â Â</w:t>
      </w:r>
    </w:p>
    <w:p>
      <w:r>
        <w:t>2.1Â Â Â Â  Streitig und zu prÃ¼fen ist, ob die in den Jahren 2003 und 2004 von der X.___ zu Gunsten von Y.___, Z.___, A.___ und B.___ getÃ¤tigten Einlagen in die ErgÃ¤nzungsversicherung der X.___ als massgeblicher Lohn zu betrachten sind. Dabei ist zwischen den Parteien nunmehr unstreitig, dass die fraglichen Einlagen auf der Grundlage von Art. 11 Abs. 5 des seit 1. November 2003 geltenden Vorsorgereglements Ã¼ber die ErgÃ¤nzungsversicherung der X.___ bei der C.___ ; Vertrag Nr. F4381/Kat. 11 (nachfolgend: Vorsorgereglement, vgl. Urk. 3/1) erbracht worden sind.</w:t>
      </w:r>
    </w:p>
    <w:p>
      <w:r>
        <w:t>2.2Â Â Â Â  Die Ausgleichskasse hatte zur BegrÃ¼ndung ihres Einspracheentscheides vom 19. Januar 2007 im Wesentlichen geltend gemacht, es genÃ¼ge nicht, dass das Vorsorgereglement eine Einlage des Arbeitgebers zulasse, sondern es mÃ¼sse sie zwingend vorschreiben. Bei der Bestimmung von Art. 11 Abs. 5 des Vorsorgereglements handle es sich um eine Kann-Vorschrift. Sie stelle somit keine zwingend vorgeschriebene Beteiligung im Sinne eines justiziablen Anspruchs zugunsten der versicherten Arbeitnehmer dar, weshalb die Voraussetzungen von Art. 8 lit. a AHVV nicht erfÃ¼llt seien (Urk. 2, vgl. aber auch Urk. 8 und Urk. 17).</w:t>
      </w:r>
    </w:p>
    <w:p>
      <w:r>
        <w:t>2.3Â Â Â Â  In der Beschwerde wird - ergÃ¤nzt und modifiziert durch die AusfÃ¼hrungen in der Replik - dagegen im Wesentlichen vorgebracht, dass es sich bei den fraglichen Zahlungen um eine (patronal finanzierte) reglementarische Einlage handle, die auf einem planmÃ¤ssigen Ausbau der Vorsorgeleistungen per 1. November 2003 beruhe. Das Leistungsziel gelte kollektiv fÃ¼r alle versicherten Personen. Im Zweifelsfall sei Art. 11 Abs. 5 des Vorsorgereglements unter Beachtung des Beschlusses des Arbeitgebers zur Umsetzung des Vorschlags der D.___ sowie des Vorsorgekonzeptes der D.___ zu interpretieren. Dass es sich bei den Einlagen nicht um massgebenden Lohn handle, ergebe sich - wie replicando prÃ¤zisiert wird - aus der richtigerweise anzuwendenden Fassung der Wegleitung Ã¼ber den massgebenden Lohn (WML; Nachtrag 1 zur WML, gÃ¼ltig ab 1. Januar 2003; insbes. Ziff. 2163.1 und 2164; vgl. Urk. 1 S. 2 ff, insbes. S. 4 sowie die diese modifizierende Replik, Urk. 13).</w:t>
      </w:r>
    </w:p>
    <w:p>
      <w:r>
        <w:t>3.Â Â Â Â Â Â  Der durch den angefochtenen Einspracheentscheid vom 19. Januar 2007 bestÃ¤tigten NachzahlungsverfÃ¼gung vom 17. November 2006 liegt im Wesentlichen folgender Sachverhalt zu Grunde: Im Sommer 2003 liess die X.___ durch die D.___ einen Vorschlag fÃ¼r ein neues Vorsorgekonzept (nachfolgend: Vorsorgekonzept) ausarbeiten, dessen bereinigte Fassung vom 19. Dezember 2003 unter anderem in Ziffer 2.3 den Aufbau einer Partnerkasse vorsah. Danach sollten durch Einbezug zusÃ¤tzlicher Lohnbestandteile in die berufliche Vorsorge der darin versicherten (Kader-)Arbeitnehmer (Partner) deren Altersleistungen derart erhÃ¶ht werden, dass das Total der Vorsorgeleistungen (der AHV, der Pensionskasse und der Partnerkasse) im RÃ¼cktrittsalter 60 ein vorgegebenes Rentenziel erreicht; die fÃ¼r das Erreichen dieses Deckungsziels entstehenden DeckungslÃ¼cken sollten per 31. Dezember 2003 mit einmaligen, in Raten erbringbaren Zuwendungen abgedeckt werden (vgl. Urk. 9/3; Vorsorgekonzept, Ziff. 2.3 ["Partnerkasse"], S. 8 ff., insbes. S. 10 [betreffend "Einkauf von Partnerjahren"]). Am 5. Januar 2004 beschloss die X.___ formell, den Partnerplan im Sinne von Ziff. 2.3 des Vorsorgekonzepts der D.___ mit Wirkung per 1. November 2003 rÃ¼ckwirkend einzufÃ¼hren; andere im Vorsorgekonzept der D.___ vorgesehene Modifikationen der bisherigen Bel-Etage Vorsorge wurden auf einen spÃ¤teren Zeitpunkt verschoben (vgl. Urk. 9/4 S. 2, Ziff. 1 und 3). Bereits am 4. Dezember 2003 hatte die X.___ Einmaleinlagen zugunsten von Y.___, Z.___, A.___ sowie B.___ (in HÃ¶he von insgesamt Fr. 2'000'000.---) veranlasst (Urk. 9/4 S. 1). Am 26. Oktober 2004 veranlasste sie weitere Einmaleinlagen zugunsten von Y.___, Z.___ sowie A.___ (in HÃ¶he von insgesamt Fr. 1'640'000.--; vgl. Urk. 9/5).</w:t>
      </w:r>
    </w:p>
    <w:p>
      <w:r>
        <w:t>Â Â Â Â Â Â Â Â  Art. 11 Abs. 5 der mit Beschluss vom 5. Januar 2004 per 1. November 2003 in Kraft gesetzten neuen Fassung des Vorsorgereglements, der Grundlage dieser Zahlungen bildet, lautet dabei wie folgt: "Der Arbeitgeber oder die Arbeitgeberin kann zur Erreichung der nachfolgend umschriebenen Zielrente eine Einmaleinlage erbringen (Einkauf von Partnerjahren). Die Zielrente entspricht bei 20 erreichten Partnerjahren zusammen mit den Leistungen der 1. SÃ¤ule und der BVG-Basisversicherung 60 % des mutmasslichen Jahreslohnes. FÃ¼r jedes nicht erreichte Partnerjahr reduziert sich die Zielrente um 2 %" (vgl. Art. 11 Abs. 5 des Vorsorgereglements, Urk. 3/1, S. 11).</w:t>
      </w:r>
    </w:p>
    <w:p>
      <w:r>
        <w:rPr>
          <w:b/>
        </w:rPr>
        <w:t>E. 4</w:t>
      </w:r>
    </w:p>
    <w:p>
      <w:r>
        <w:t>4.1Â Â Â Â  Wie die Ausgleichskasse im angefochtenen Einspracheentscheid wie auch im Rahmen des Schriftenwechsels wiederholt zutreffend ausgefÃ¼hrt hat, gelten als reglementarische BeitrÃ¤ge im Sinne von Art. 8 lit. a AHVV nur diejenigen BeitrÃ¤ge, welche auf Grund des Reglementes oder der Statuten der Vorsorgeeinrichtung geschuldet sind. Dazu genÃ¼gt es nicht, dass das Reglement eine Einlage des Arbeitgebers zulÃ¤sst. Vielmehr muss das Reglement sie (grundsÃ¤tzlich oder in einem bestimmten Zusammenhang) vorschreiben (vgl. AHI 2004 S. 256 f. Erw. 4.2 mit Hinweis auf die ErlÃ¤uterungen des BSV zur VerordnungsÃ¤nderung vom 16. September 1996, AHI 1996 S. 263 ff, 273) beziehungsweise muss der Arbeitgeber die BeitrÃ¤ge gestÃ¼tzt auf - ihm grundsÃ¤tzlich entzogene, jedenfalls nicht ad hoc im Einzelfall abÃ¤nderbare - normative Grundlagen zu bezahlen haben (vgl. auch BGE 133 V 556).</w:t>
      </w:r>
    </w:p>
    <w:p>
      <w:r>
        <w:t>4.2Â Â Â Â  Art. 11 Abs. 5 des Vorsorgereglements bestimmt, dass der Arbeitgeber oder die Arbeitgeberin zur Erreichung der nachfolgend umschriebenen Zielrente eine Einmaleinlage erbringen "kann". Daraus folgt, dass ein Beitrag der Arbeitgeberin zur Deckung von DeckungslÃ¼cken zwar mÃ¶glich ist. Entgegen der Auffassung der BeschwerdefÃ¼hrenden ist der Beitrag jedoch nicht vorgeschrieben und aufgrund des Vorsorgereglements nicht geschuldet. Dies ergibt sich denn auch unmissverstÃ¤ndlich aus Art. 11 Abs. 1 des Vorsorgereglements; danach handelt es sich bei den Einmaleinlagen gemÃ¤ss Abs. 5 ausdrÃ¼cklich um "freiwillige" Zuwendungen des Arbeitgebers oder der Arbeitgeberin fÃ¼r den Einkauf von Partnerjahren (vgl. Urk. 3/1 S. 10). Sind die BeitrÃ¤ge aufgrund des Reglements jedoch freiwillig und somit nicht geschuldet, sind die auf Grundlage von Art. 11 Abs. 5 des Vorsorgereglements erbrachten Zahlungen nicht als reglementarische BeitrÃ¤ge im Sinne von Art. 8 lit. a AHVV zu qualifizieren.</w:t>
      </w:r>
    </w:p>
    <w:p>
      <w:r>
        <w:t>4.3Â Â Â Â  Daran vermÃ¶gen die AusfÃ¼hrungen in der Beschwerde sowie in der Replik nichts zu Ã¤ndern. Soweit darin auf Ziff. 2162 ff. WML (in der richtigerweise anzuwendenden, ab 1. Januar 2003 gÃ¼ltig gewesenen Fassung) hingewiesen wird ist festzustellen, dass (auch) darin jeweils von BeitrÃ¤gen oder EinkÃ¤ufen der Arbeitgeber die Rede ist, welche "in den Reglementen vorgesehen" sind (vgl. Rz 6162 und 6163.1). Dies kann mit Blick auf den Willen des Verordnungsgebers (vgl. Erw. 4.1 hievor) indessen nicht anders verstanden werden, als dass die Einlagen im Reglement (zwingend) vorgeschrieben sein mÃ¼ssen (vgl. wiederum die ErlÃ¤uterungen des BSV zur VerordnungsÃ¤nderung vom 16. September 1996, AHI 1996 S. 263 ff, 273). Zu beachten ist dabei nÃ¤mlich, dass Verwaltungsweisungen des BSV keine eigenen Rechtsregeln darstellen, sondern es sich hiebei lediglich um eine Konkretisierung und Umschreibung der gesetzlichen und verordnungsmÃ¤ssigen Bestimmungen beziehungsweise um Vorgaben an die Vollzugsorgane Ã¼ber die Art und Weise handelt, wie diese ihre Befugnisse auszuÃ¼ben haben (vgl. zur Bedeutung von Verwaltungsweisungen BGE 130 V 163). Soweit in der Beschwerde beantragt wird, es sei Art. 11 Abs. 5 des Vorsorgereglements "unter Beachtung des Beschlusses des Arbeitgebers zur Umsetzung des Vorschlags der D.___ sowie dem Vorsorgekonzept der D.___" zu interpretieren, ist sodann anzumerken, dass mit Blick auf den (unmissverstÃ¤ndlichen) Wortlaut von Art. 11 Abs. 1 und 5 des Vorsorgereglements (vgl. Erw. 4.2 hievor) - was allein entscheidend ist - kein Raum fÃ¼r eine gegenteilige Interpretation besteht.</w:t>
      </w:r>
    </w:p>
    <w:p>
      <w:r>
        <w:t>4.4Â Â Â Â  Zusammenfassend ergibt sich demnach, dass die streitigen, gestÃ¼tzt auf Art. 11 Abs. 5 des Vorsorgereglements erbrachten Zahlungen nicht geschuldet sind, weshalb sie keine reglementarischen BeitrÃ¤ge im Sinne von Art. 8 lit. a AHVV darstellen. Damit hat die Ausgleichskasse die fraglichen Zahlungen zu Recht als massgebenden Lohn qualifiziert und darauf paritÃ¤tische BeitrÃ¤ge erhoben.</w:t>
      </w:r>
    </w:p>
    <w:p>
      <w:r>
        <w:t>4.5Â Â Â Â  In masslicher Hinsicht wurde der Einspracheentscheid vom 19. Januar 2007 (beziehungsweise die damit bestÃ¤tigte NachzahlungsverfÃ¼gung vom 17. November 2006) nicht beanstandet. Da sich nach Lage der Akten in Bezug auf das Massliche auch keine Hinweise auf offensichtliche Fehler ergeben, ist der Einspracheentscheid vom 19. Januar 2007 zu bestÃ¤tigen und die dagegen erhobene Beschwerde abzuweisen.</w:t>
      </w:r>
    </w:p>
    <w:p>
      <w:r>
        <w:t>Das Gericht erkennt:</w:t>
      </w:r>
    </w:p>
    <w:p>
      <w:r>
        <w:t>1.Â Â Â Â Â Â Â Â  Die Beschwerde wird abgewiesen.</w:t>
      </w:r>
    </w:p>
    <w:p>
      <w:r>
        <w:t>2.Â Â Â Â Â Â Â Â  Das Verfahren ist kostenlos.</w:t>
      </w:r>
    </w:p>
    <w:p>
      <w:r>
        <w:t>3.Â Â Â Â Â Â Â Â  Zustellung gegen Empfangsschein an:</w:t>
      </w:r>
    </w:p>
    <w:p>
      <w:r>
        <w:t>- Swisscanto Vorsorge AG</w:t>
      </w:r>
    </w:p>
    <w:p>
      <w:r>
        <w:t>- Ausgleichskasse fÃ¼r das schweizerische Bankgewerbe</w:t>
      </w:r>
    </w:p>
    <w:p>
      <w:r>
        <w:t>- Bundesamt fÃ¼r Sozialversicherungen</w:t>
      </w:r>
    </w:p>
    <w:p>
      <w:r>
        <w:t>4.Â Â Â Â Â Â Â Â  Gegen diesen Entscheid kann innert 30 Tagen seit der Zustellung beim Bundesgericht Beschwerde eingereicht werden (Art. 82 ff. in Verbindung mit Art. 90 ff. des Bundesgesetzes Ã¼ber das Bundesgericht, BGG). Die Frist steht wÃ¤hrend folgender Zeiten still: vom siebten Tag vor Ostern bis und mit dem siebten Tag nach Ostern, vom 15. Juli bis und mit 15. August sowie vom 18. Dezember bis und mit dem 2. Januar (Art. 46 BGG).</w:t>
      </w:r>
    </w:p>
    <w:p>
      <w:r>
        <w:t>Â Â Â Â Â Â Â Â Â Â  Die Beschwerdeschrift ist dem Bundesgericht, Schweizerhofquai 6, 6004 Luzern, zuzustellen.</w:t>
      </w:r>
    </w:p>
    <w:p>
      <w:r>
        <w:t>Â Â Â Â Â Â Â Â Â Â  Die Beschwerdeschrift hat die Begehren, deren BegrÃ¼ndung mit Angabe der Beweismittel und die Unterschrift des BeschwerdefÃ¼hrers oder seines Vertreters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