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AB.2005.00137 vom 28. Dezember 2007</w:t>
      </w:r>
    </w:p>
    <w:p>
      <w:r>
        <w:t>ZH Sozialversicherungsgericht, 2007-12-28, DE</w:t>
      </w:r>
    </w:p>
    <w:p>
      <w:r>
        <w:rPr>
          <w:b/>
        </w:rPr>
        <w:t xml:space="preserve">Quelle: </w:t>
      </w:r>
      <w:r>
        <w:t>https://mcp.opencaselaw.ch/entscheid/zh_sozialversicherungsgericht_AB.2005.00137</w:t>
      </w:r>
    </w:p>
    <w:p>
      <w:r>
        <w:t>FR: ZH_SOZIALVERSICHERUNGSGERICHT AB.2005.00137 du 28 décembre 2007</w:t>
      </w:r>
    </w:p>
    <w:p>
      <w:r>
        <w:t>IT: ZH_SOZIALVERSICHERUNGSGERICHT AB.2005.00137 del 28 dicembre 2007</w:t>
      </w:r>
    </w:p>
    <w:p>
      <w:pPr>
        <w:pStyle w:val="Heading2"/>
      </w:pPr>
      <w:r>
        <w:t>Erwägungen</w:t>
      </w:r>
    </w:p>
    <w:p>
      <w:r>
        <w:rPr>
          <w:b/>
        </w:rPr>
        <w:t>E. 4</w:t>
      </w:r>
    </w:p>
    <w:p>
      <w:r>
        <w:t>4.1Â Â Â Â  Die Beschwerdegegnerin stellt sich zur Hauptsache auf den Standpunkt, Vorruhestandsleistungen des Arbeitgebers (nach Sozialplan) im Rahmen von administrativen Pensionierungen kÃ¶nnten nicht als reglementarische BeitrÃ¤ge an eine Vorsorgeeinrichtung gemÃ¤ss Art. 8 Bst. a AHVV anerkannt werden (Urk. 2 und 7).</w:t>
      </w:r>
    </w:p>
    <w:p>
      <w:r>
        <w:t>4.2Â Â Â Â  Die BeschwerdefÃ¼hrerin hÃ¤lt dem entgegen (Urk. 1 S. 2 ff. und 12), der Sozialplan vom 6. September 2001 begrÃ¼nde keine vorsorgerechtlichen AnsprÃ¼che der betroffenen Personen, sondern stelle eine blosse Spezifizierung von Art. 21 PVO-ETH (beziehungsweise Art. 31 Abs. 4 des Bundespersonalgesetzes [BPG] und Art. 105 der Bundespersonalverordnung [BPV]) dar. Die erbrachten Zahlungen stÃ¼tzten sich ausschliesslich auf die PVO-ETH, welcher reglementarischer Charakter im Sinne von Art. 8 Bst. a AHVV zukomme, und nicht auf den Sozialplan. Sollten die Zahlungen nicht als reglementarische Leistungen anerkannt werden, so wÃ¤ren sie unter Art. 7 Bst. q AHVV in Verbindung mit Art. 8 ter AHVV zu subsumieren (Urk. 12 S. 3).</w:t>
      </w:r>
    </w:p>
    <w:p>
      <w:r>
        <w:rPr>
          <w:b/>
        </w:rPr>
        <w:t>E. 5</w:t>
      </w:r>
    </w:p>
    <w:p>
      <w:r>
        <w:t>5.1Â Â Â Â  Die NachtragsverfÃ¼gung vom 12. September 2005 (Urk. 8/2) betrifft von der BeschwerdefÃ¼hrerin fÃ¼r verschiedene Arbeitnehmer geleistete Deckungskapitalien im Rahmen eines Sozialplans beziehungsweise einer Umstrukturierungsvereinbarung. Betroffen sind Arbeitnehmer, welche in den Jahren 2001 sowie 2003 und 2004 umstÃ¤ndehalber vorzeitig pensioniert worden sind. Die BeschwerdefÃ¼hrerin bezieht sich dabei auch auf den Sozialplan vom 6. September 2001. Da dieser erst seit dem 1. Januar 2002 in Kraft ist (Urk. 3/4), kann er allenfalls nur fÃ¼r die in den Jahren 2003 und 2004 erfolgten Austritte als Grundlage gelten. Unbestritten ist indes, dass auch die im Jahre 2001 ausgetretenen Mitarbeiter im Rahmen von Umstrukturierungen vorzeitig pensioniert worden sind.</w:t>
      </w:r>
    </w:p>
    <w:p>
      <w:r>
        <w:t>Â Â Â Â Â Â Â Â  Art. 21-23 der Verordnung des ETH-Rates Ã¼ber das Personal im Bereich der EidgenÃ¶ssischen Technischen Hochschulen (Personalverordnung ETH-Bereich, PVO-ETH; SR 172.220.113), welcher die ArbeitsverhÃ¤ltnisse der Mitarbeiterinnen und Mitarbeiter des ETH-Bereichs, das heisst beider ETH und der Forschungsanstalten (darunter das E.___), unterstehen, regeln Massnahmen und Leistungen infolge Umstrukturierungen. Dass die BeschwerdefÃ¼hrerin Deckungskapitalien fÃ¼r verschiedene Arbeitnehmer in die Pensionskasse einbezahlt hat, grÃ¼ndet auf dem Umstand, dass der Arbeitgeber gestÃ¼tzt auf Art. 22 Abs. 4 PVO-ETH bei infolge Umstrukturierung vorzeitig Pensionierten die entstandene DeckungslÃ¼cke zugunsten der Pensionskasse bezahlt.</w:t>
      </w:r>
    </w:p>
    <w:p>
      <w:r>
        <w:t>5.2Â Â Â Â  Unbestritten ist sachverhaltsmÃ¤ssig, dass die betroffenen Arbeitnehmer infolge Umstrukturierungen vorzeitig, das heisst vor Erreichen des AHV-Rentenalters, pensioniert worden sind. Es handelt sich hier jedenfalls nicht um einen "freiwilligen" Austritt, sondern um eine umstÃ¤ndehalber, vom Arbeitgeber vorgegebene Beendigung des ArbeitsverhÃ¤ltnisses. Streitig ist nun, wie diese Zahlungen des Arbeitgebers AHV-beitragsrechtlich zu erfassen sind. Da es sich um Leistungen bei Beendigung der ArbeitsverhÃ¤ltnisse handelt, fallen sie nicht unter Art. 8 lit. a AHVV.</w:t>
      </w:r>
    </w:p>
    <w:p>
      <w:r>
        <w:t>Â Â Â Â Â Â Â Â</w:t>
      </w:r>
    </w:p>
    <w:p>
      <w:r>
        <w:t>Â Â Â Â Â Â Â Â  Das Bundesgericht (vormals EidgenÃ¶ssisches Versicherungsgericht) hat sich im Entscheid vom 25. Januar 2007 mit der Frage der AHV-Beitragspflicht auseinandergesetzt und festgehalten (BGE 133 V 153), Vorruhestandsleistungen im Sinne von Art. 8 ter Abs. 1 lit. c AHVV seien beitragsrechtlich gleich zu behandeln wie Leistungen, welche sich auf SozialplÃ¤ne bei Entlassungen im Falle einer Betriebsschliessung oder -zusammenlegung und damit auf Art. 8 ter Abs. 1 lit. d AHVV abstÃ¼tzen wÃ¼rden. Das oberste Gericht hat weiter ausgefÃ¼hrt, die Auffassung, einzig Art. 8 ter Abs. 1 lit. d AHVV sei auf SozialplÃ¤ne anwendbar, sei verfehlt (BGE 133 V 159 Erw. 8.4). Sowohl Leistungen nach Art. 8 ter Abs. 1 lit. c AHVV als auch solche nach Art. 8 ter Abs. 1 lit. d AHVV unterliegen gemÃ¤ss hÃ¶chstricherlichem Entscheid der AHV-Beitragspflicht, sofern sie acht MonatslÃ¶hne Ã¼bersteigen.</w:t>
      </w:r>
    </w:p>
    <w:p>
      <w:r>
        <w:t>Â Â Â Â Â Â Â Â  Im zur Publikation vorgesehenen Entscheid vom 27. August 2007 (Bundesamt fÃ¼r Sozialversicherungen [BSV] gegen Schweizerische Eidgenossenschaft; H 153/06) hatte das Bundesgericht einen analogen Sachverhalt wie den vorliegenden zu beurteilen. Das Departement fÃ¼r Verteidigung, BevÃ¶lkerungsschutz und Sport (VBS) rechnete Zahlungen gegenÃ¼ber der AHV nicht ab, welche es in Form von Deckungskapitalien zu Gunsten einzelner versicherter Personen im Zusammenhang mit deren vorzeitiger Pensionierung der Pensionskasse des Bundes und deren Nachfolgeorganisation, der A.___, erbracht hatte. Das Bundesgericht hat befunden, gegen die Annahme reglementarischer BeitrÃ¤ge im Sinne von Art. 8 lit. a AHVV spreche letztlich entscheidend der Umstand, dass die Eidgenossenschaft als Arbeitgeberin frei darÃ¼ber befinde, welche Arbeitnehmer in einer konkreten betrieblichen Situation vorzeitig pensioniert und welche weiterbeschÃ¤ftigt werden sollen. Die Zahlungspflicht erwachse dem Bund mithin nur und erst, weil und nachdem das (im Rahmen weitergehender beruflicher Vorsorge) versicherte Risiko der unverschuldeten Entlassung in Form einseitig angeordneter vorzeitiger Pensionierung schon herbeigefÃ¼hrt worden sei. Die Pflicht zur Nachschussleistung nach Art. 105 Abs. 3 BPV sei daher nicht berufsvorsorge- und versicherungsrechtlicher Natur, sondern Ausdruck des Versorgungsprinzips, wie es dem Ã¶ffentlich-rechtlichen DienstverhÃ¤ltnis zwischen dem Bund und seinen Angestellten in verschiedener Hinsicht zugrunde liege. Unter Hinweis auf BGE 133 V 153 hat es in der Folge entschieden, bei den vom Arbeitgeber einbezahlten Deckungskapitalien handle es sich nicht um reglementarische BeitrÃ¤ge im Sinne von Art. 8 lit. a AHVV, sondern es gehe dabei um Leistungen bei Beendigung des ArbeitsverhÃ¤ltnisses, welche unter Art. 7 lit. q AHVV zu subsumieren seien und nach Art. 8 ter Abs. 1 lit. c AHVV, soweit sie acht MonatslÃ¶hne nicht Ã¼bersteigen, nicht zum massgebenden Lohn gehÃ¶ren (Urteil vom 27. August 2007, H 153/06, Erw. 8).</w:t>
      </w:r>
    </w:p>
    <w:p>
      <w:r>
        <w:t>Â Â Â Â Â Â Â Â  Demnach unterliegen die in die Pensionskasse einbezahlten Deckungskapitalien der AHV-Beitragspflicht, sofern sie acht MonatslÃ¶hne Ã¼bersteigen.</w:t>
      </w:r>
    </w:p>
    <w:p>
      <w:r>
        <w:rPr>
          <w:b/>
        </w:rPr>
        <w:t>E. 5.3</w:t>
      </w:r>
    </w:p>
    <w:p>
      <w:r>
        <w:t>5.3.1Â Â  Die BeschwerdefÃ¼hrerin macht sodann geltend (Urk. 1 S. 4), die Information im Zusammenhang mit der EinfÃ¼hrung des Artikels 8 ter AHVV sei mittels der Weisung Nr. 26 sehr rudimentÃ¤r erfolgt. Noch in den Jahren 2003 und 2004 sei sich die Beschwerdegegnerin Ã¼ber die beitragsrechtliche Zuordnung von Deckungskapitalien nicht im Klaren gewesen, was der Briefwechsel zwischen ihr und dem Bundesamt fÃ¼r Sozialversicherungen belege.</w:t>
      </w:r>
    </w:p>
    <w:p>
      <w:r>
        <w:t>5.3.2Â Â  Nach der Rechtsprechung des EidgenÃ¶ssischen Versicherungsgerichts vermÃ¶gen fehlerhafte Verwaltungsweisungen oder ein von der Verwaltung herausgegebenes fehlerhaftes Merkblatt in der Regel keine vom materiellen Recht abweichende Behandlung zu begrÃ¼nden, weil sie sich an einen unbestimmten Adressatenkreis richten und auf eine Vielzahl von Sachverhalten beziehen. Verlangt die BÃ¼rgerin oder der BÃ¼rger aber zu einer bestimmten, sie oder ihn betreffenden Frage eine Auskunft und erteilt die BehÃ¶rde ihr oder ihm diese in Form der Abgabe eines Merkblattes (oder einer Ã¤hnlichen behÃ¶rdlichen Information), kann damit eine individuell-konkrete Zusicherung verbunden sein. Trifft dies zu, kann sich die betroffene Person auf die Unrichtigkeit der Auskunft berufen, sofern die Ã¼brigen Voraussetzungen des Vertrauensschutzes erfÃ¼llt sind (BGE 109 V 55 Erw. 3b mit Hinweisen).</w:t>
      </w:r>
    </w:p>
    <w:p>
      <w:r>
        <w:t>Â Â Â Â Â Â Â Â  Der Grundsatz von Treu und Glauben (Art. 9 BV) verschafft einen Anspruch auf Schutz berechtigten Vertrauens in behÃ¶rdliche Zusicherungen oder sonstiges, bestimmte Erwartungen begrÃ¼ndetes Verhalten, sofern sich dieses auf eine konkrete, die betreffende BÃ¼rgerin oder den betreffenden BÃ¼rger berÃ¼hrende Angelegenheit bezieht. Der entsprechende Schutz entfÃ¤llt in der Regel bei Ãnderungen von Erlassen, da gemÃ¤ss dem demokratischen Prinzip die Rechtsordnung grundsÃ¤tzlich jederzeit geÃ¤ndert werden kann. Der Vertrauensgrundsatz vermag einer RechtsÃ¤nderung nur entgegenzustehen, wenn diese gegen das RÃ¼ckwirkungsverbot verstÃ¶sst oder in wohlerworbene Rechte eingreift. Nach der Rechtsprechung kann es aus GrÃ¼nden der Rechtsgleichheit, der VerhÃ¤ltnismÃ¤ssigkeit und des WillkÃ¼rverbots sowie des Vertrauensschutzes verfassungsrechtlich zudem geboten sein, gegebenenfalls eine angemessene Ãbergangsregelung zu schaffen (BGE 130 I 60 Erw. 8.1 mit Hinweisen).</w:t>
      </w:r>
    </w:p>
    <w:p>
      <w:r>
        <w:t>5.3.3Â Â  Die Beschwerdegegnerin hat am 18. Dezember 2000 die Weisung Nr. 26 erlassen, in welcher sie auf die auf den 1. Januar 2001 in Kraft getretenen Ãnderungen der AHV-Verordnung hingewiesen hat (Urk. 8/4). Dabei machte sie unter anderem darauf aufmerksam, dass Sozialleistungen des Arbeitsgebers bei Beendigung des ArbeitsverhÃ¤ltnisses grundsÃ¤tzlich zum massgebenden Lohn zu zÃ¤hlen seien, jedoch unter gewissen Voraussetzungen Ausnahmen gegeben seien (Urk. 8/4 S. 2). Die Weisung Nr. 29 vom Dezember 2002 beinhaltet Neuerungen per 1. Januar 2003 und darÃ¼ber hinaus eine Information betreffend Art. 8 ter AHVV, in welchem Zusammenhang die Beschwerdegegnerin einen Fragebogen sowie ein Merkblatt erlassen hat (Urk. 8/5 S. 2 f.). Schliesslich erging im Dezember 2004 die Weisung Nr. 31 (Urk. 8/6). Darin findet sich der Hinweis, wonach das Bundesamt fÃ¼r Sozialversicherungen entschieden habe, dass Leistungen der Arbeitgeber bei vorzeitigen Pensionierungen in die zweite SÃ¤ule praktisch ausnahmslos zum massgebenden Lohn gehÃ¶ren wÃ¼rden. Die Beschwerdegegnerin hat in der erwÃ¤hnten Weisung sodann festgehalten, die PraxisÃ¤nderung per 1. Februar 2005 umzusetzen.</w:t>
      </w:r>
    </w:p>
    <w:p>
      <w:r>
        <w:t>Â Â Â Â Â Â Â Â  Angesichts dieser Weisungen, welche ausnahmslos von der Unterstellung der fraglichen Arbeitgeberleistungen unter die Beitragspflicht ausgegangen sind, kann keine Vertrauensgrundlage erblickt werden, gestÃ¼tzt auf welche die BeschwerdefÃ¼hrerin in guten Treuen hÃ¤tte annehmen kÃ¶nnen, die Leistungen unterstÃ¼nden nicht der Beitragspflicht.</w:t>
      </w:r>
    </w:p>
    <w:p>
      <w:r>
        <w:t>Â Â Â Â Â Â Â Â  Die BeschwerdefÃ¼hrerin kann sich daher nicht auf den Grundsatz von Treu und Glauben berufen.</w:t>
      </w:r>
    </w:p>
    <w:p>
      <w:r>
        <w:t>5.4Â Â Â Â  Die Beschwerdegegnerin hat im Jahr 2001 fÃ¼nf, im 2003 drei und im 2004 vier Angestellte erfasst (vgl. Beilage zu Urk. 8/2). Aus den Unterlagen gehen die LÃ¶hne nicht hervor, weshalb nicht geprÃ¼ft werden kann, ob die bezahlten Deckungskapitalien im Einzelfall acht MonatslÃ¶hne Ã¼bersteigen. Die Sache ist deshalb unter Aufhebung des Einspracheentscheides an die Beschwerdegegnerin zurÃ¼ckzuweisen, damit sie diese Frage prÃ¼fe und gegebenenfalls die geschuldeten BeitrÃ¤ge neu festsetze.</w:t>
      </w:r>
    </w:p>
    <w:p>
      <w:r>
        <w:t>Â Â Â Â Â Â Â Â  Die Beschwerde ist daher in diesem Sinne gutzuheissen.</w:t>
      </w:r>
    </w:p>
    <w:p>
      <w:r>
        <w:t>Das Gericht erkennt:</w:t>
      </w:r>
    </w:p>
    <w:p>
      <w:r>
        <w:t>1.Â Â Â Â Â Â Â Â  Die Beschwerde wird in dem Sinne gutgeheissen, dass der Einspracheentscheid vom 30. November 2005 aufgehoben und die Sache an die Beschwerdegegnerin zurÃ¼ckgewiesen wird, damit sie AbklÃ¤rungen im Sinne der ErwÃ¤gung 5.4 treffe und Ã¼ber die Beitragspflicht neu verfÃ¼ge.</w:t>
      </w:r>
    </w:p>
    <w:p>
      <w:r>
        <w:t>2.Â Â Â Â Â Â Â Â  Das Verfahren ist kostenlos.</w:t>
      </w:r>
    </w:p>
    <w:p>
      <w:r>
        <w:t>3.Â Â Â Â Â Â Â Â  Zustellung gegen Empfangsschein an:</w:t>
      </w:r>
    </w:p>
    <w:p>
      <w:r>
        <w:t>- E.___</w:t>
      </w:r>
    </w:p>
    <w:p>
      <w:r>
        <w:t>- EidgenÃ¶ssische Ausgleichskasse</w:t>
      </w:r>
    </w:p>
    <w:p>
      <w:r>
        <w:t>- Bundesamt fÃ¼r Sozialversicherungen</w:t>
      </w:r>
    </w:p>
    <w:p>
      <w:r>
        <w:t>4.Â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