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AB.2005.00130 vom 24. Mai 2005</w:t>
      </w:r>
    </w:p>
    <w:p>
      <w:r>
        <w:t>ZH Sozialversicherungsgericht, 2005-05-24, DE</w:t>
      </w:r>
    </w:p>
    <w:p>
      <w:r>
        <w:rPr>
          <w:b/>
        </w:rPr>
        <w:t xml:space="preserve">Quelle: </w:t>
      </w:r>
      <w:r>
        <w:t>https://mcp.opencaselaw.ch/entscheid/zh_sozialversicherungsgericht_AB.2005.00130</w:t>
      </w:r>
    </w:p>
    <w:p>
      <w:r>
        <w:t>FR: ZH_SOZIALVERSICHERUNGSGERICHT AB.2005.00130 du 24 mai 2005</w:t>
      </w:r>
    </w:p>
    <w:p>
      <w:r>
        <w:t>IT: ZH_SOZIALVERSICHERUNGSGERICHT AB.2005.00130 del 24 maggio 2005</w:t>
      </w:r>
    </w:p>
    <w:p>
      <w:pPr>
        <w:pStyle w:val="Heading2"/>
      </w:pPr>
      <w:r>
        <w:t>Erwägungen</w:t>
      </w:r>
    </w:p>
    <w:p>
      <w:r>
        <w:rPr>
          <w:b/>
        </w:rPr>
        <w:t>E. 3</w:t>
      </w:r>
    </w:p>
    <w:p>
      <w:r>
        <w:t>3.1Â Â Â Â  Der BeschwerdefÃ¼hrer ist gegenÃ¼ber der Beschwerdegegnerin einerseits GlÃ¤ubiger des Rentenguthabens, anderseits Schuldner der Schadenersatzforderung in der HÃ¶he von Fr. 34'156.05 (Urk. 16/11). Die Beschwerdegegnerin hatte die Pflicht, die Schadenersatzforderung mit dem Rentenguthaben zu verrechnen, zumal diese fÃ¤llig und infolge Geltendmachens mittels VerfÃ¼gung innert fÃ¼nf Jahren nach Ablauf des Kalenderjahres, fÃ¼r welches sie geschuldet sind, unverjÃ¤hrt ist (Art. 16 Abs. 1 AHVG).</w:t>
      </w:r>
    </w:p>
    <w:p>
      <w:r>
        <w:t>3.2Â Â Â Â  Zu prÃ¼fen ist daher ob der BeschwerdefÃ¼hrer durch die Verrechnung in eine Notlage gerÃ¤t.</w:t>
      </w:r>
    </w:p>
    <w:p>
      <w:r>
        <w:t>3.3Â Â Â Â  Zur Ermittlung der finanziellen VerhÃ¤ltnisse stÃ¼tzte sich die Beschwerdegegnerin auf die Angaben des BeschwerdefÃ¼hrers vom 11. November 2005 (Urk. 16/24-25).</w:t>
      </w:r>
    </w:p>
    <w:p>
      <w:r>
        <w:t>Â Â Â Â Â Â Â Â  An EinkÃ¼nften rechnete die Beschwerdegegnerin die AHV-Rente in der HÃ¶he von Fr. 2'116.-- und die ErgÃ¤nzungsleistungen von Fr. 921.-- an, was ein Einkommen von Fr. 3'037.-- ergibt. Sodann zÃ¤hlte die Beschwerdegegnerin das Einkommen von C.___ von Fr. 2'866.-- hinzu mit der BegrÃ¼ndung, der BeschwerdefÃ¼hrer lebe mit ihr in Hausgemeinschaft. Unbestritten ist, dass der BeschwerdefÃ¼hrer und C.___ nicht verheiratet sind. Aktenkundig ist, dass der BeschwerdefÃ¼hrer und C.___ einen Mietvertrag Ã¼ber ein Einfamilienhaus eingegangen sind und im selben Haus leben (Urk. 16/24/1). Eine Wohngemeinschaft begrÃ¼ndet jedoch noch keine Vermutung fÃ¼r eine eheÃ¤hnliche Gemeinschaft. Aufgrund dieses Mietvertrages konnte die Beschwerdegegnerin somit nicht ableiten, es liege ein Konkubinat vor. Damit ist das Einkommen von C.___ bei der Berechnung des betreibungsrechtlichen Existenzminimums nicht heranzuziehen. Zu beachten ist, dass auch die DurchfÃ¼hrungsstelle fÃ¼r Zusatzleistungen dem BeschwerdefÃ¼hrer kein weiteres Einkommen angerechnet hat (vgl. Urk. 16/16/1). Es ist somit von einem Einkommen von Fr. 3'037.-- auszugehen.</w:t>
      </w:r>
    </w:p>
    <w:p>
      <w:r>
        <w:t>Â Â Â Â Â Â Â Â  Dem steht ein Grundbetrag von Fr. 1'100.-- gegenÃ¼ber. Wie der BeschwerdefÃ¼hrer zu Recht geltend gemacht hat, ist von einem Mietzins von Fr. 1'250.-- auszugehen, der HÃ¤lfte der Mietkosten fÃ¼r das Einfamilienhaus (Urk. 16/24/1). Entgegen der Ansicht der Beschwerdegegnerin sind die Mietkosten angemessen und nicht zu hoch. Ausgewiesen sind sodann die monatlichen Heizungskosten von anteilsmÃ¤ssig Fr. 225.-- (Urk. 16/24/3), ebenso die PrÃ¤mien fÃ¼r die Krankenkasse in der HÃ¶he von Fr. 448.50 (Urk. 16/24/2). Zu Recht hat die Beschwerdegegnerin schliesslich die Zahnarztkosten von Fr. 644.45 oder monatlich Fr. 52.75 berÃ¼cksichtigt.</w:t>
      </w:r>
    </w:p>
    <w:p>
      <w:r>
        <w:t>3.4Â Â Â Â  Den EinkÃ¼nften des BeschwerdefÃ¼hrers von Fr. 3'037.-- stehen demgemÃ¤ss notwendige Ausgaben von Fr. 3Â076.-- (Fr. 1'100.-- + Fr. 1'250.-- + Fr. 225.-- + Fr. 448.50 + Fr. 52.75) gegenÃ¼ber. Die notwendigen Ausgaben Ã¼bersteigen damit die EinkÃ¼nfte des BeschwerdefÃ¼hrers. Die Beschwerdegegnerin ist demnach nicht berechtigt, die ausstehende Schadenersatzforderung mit den AHV-Rentenzahlungen zu verrechnen.</w:t>
      </w:r>
    </w:p>
    <w:p>
      <w:r>
        <w:t>Â Â Â Â Â Â Â Â  Die Beschwerde ist daher gutzuheissen.</w:t>
      </w:r>
    </w:p>
    <w:p>
      <w:r>
        <w:t>4.Â Â 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Â Â Â Â Â Â Â Â  Der BeschwerdefÃ¼hrer hat die fÃ¼r die Geltendmachung seines Anliegens wesentlichen Aspekte in verstÃ¤ndlicher Form vorgebracht. Er ist in der Lage, den Prozess selber zu fÃ¼hren. Dem entsprechenden Antrag - der beim vorliegenden, zu seinen Gunsten lautenden Ausgang des Verfahrens ohnehin gegenstandslos geworden ist - des BeschwerdefÃ¼hrers ist daher nicht stattzugeben.</w:t>
      </w:r>
    </w:p>
    <w:p>
      <w:r>
        <w:t>Das Gericht erkennt:</w:t>
      </w:r>
    </w:p>
    <w:p>
      <w:r>
        <w:t>1.Â Â Â Â Â Â Â Â  In Gutheissung der Beschwerde wird der Einspracheentscheid der Ausgleichskasse Promea vom 24. November 2005 aufgehoben und es wird festgestellt, dass die Schadenersatzforderung von Fr. 34'156.05 nicht mit der Altersrente des BeschwerdefÃ¼hrers zu verrechnen ist.</w:t>
      </w:r>
    </w:p>
    <w:p>
      <w:r>
        <w:t>2.Â Â Â Â Â Â Â Â  Das Verfahren ist kostenlos.</w:t>
      </w:r>
    </w:p>
    <w:p>
      <w:r>
        <w:t>3.Â Â Â Â Â Â Â Â  Zustellung gegen Empfangsschein an:</w:t>
      </w:r>
    </w:p>
    <w:p>
      <w:r>
        <w:t>- A.___</w:t>
      </w:r>
    </w:p>
    <w:p>
      <w:r>
        <w:t>- Ausgleichskasse PROMEA</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