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AB.2005.00125 vom 30. Juni 2006</w:t>
      </w:r>
    </w:p>
    <w:p>
      <w:r>
        <w:t>ZH Sozialversicherungsgericht, 2006-06-30, DE</w:t>
      </w:r>
    </w:p>
    <w:p>
      <w:r>
        <w:rPr>
          <w:b/>
        </w:rPr>
        <w:t xml:space="preserve">Quelle: </w:t>
      </w:r>
      <w:r>
        <w:t>https://mcp.opencaselaw.ch/entscheid/zh_sozialversicherungsgericht_AB.2005.00125</w:t>
      </w:r>
    </w:p>
    <w:p>
      <w:r>
        <w:t>FR: ZH_SOZIALVERSICHERUNGSGERICHT AB.2005.00125 du 30 juin 2006</w:t>
      </w:r>
    </w:p>
    <w:p>
      <w:r>
        <w:t>IT: ZH_SOZIALVERSICHERUNGSGERICHT AB.2005.00125 del 30 giugno 2006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Die Beschwerdegegnerin stÃ¼tzt sich auf die Steuermeldung vom 13. Mai 2004 und begrÃ¼ndet ihren Standpunkt im Ãbrigen damit, dass der in Frage stehende, im Oktober 1999 realisierte Gewinn aus dem Verkauf der Liegenschaft der Jahressteuer gemÃ¤ss Art. 47 DBG unterstellt worden sei und sodann auch Reserven aufgelÃ¶st worden seien (Urk. 2 und 7).</w:t>
      </w:r>
    </w:p>
    <w:p>
      <w:r>
        <w:t>3.2Â Â Â Â  Die BeschwerdefÃ¼hrerin lÃ¤sst hiergegen zur Hauptsache einwenden (Urk. 1, 8/2 und 11), der Gewinn sei im Rahmen der Ã¼blichen GeschÃ¤ftstÃ¤tigkeit im Liegenschaftenhandel, der weiterhin betrieben werde, erzielt worden. Der Verkauf der Liegenschaft in B.___ stelle daher kein ausserordentliches Ereignis dar, weshalb der Gewinn nicht gesondert zu erfassen sei. Im Ãbrigen falle dieser wegen des Ãbergangs zur Gegenwartsbesteuerung Ã¼berhaupt in die BemessungslÃ¼cke.</w:t>
      </w:r>
    </w:p>
    <w:p>
      <w:r>
        <w:rPr>
          <w:b/>
        </w:rPr>
        <w:t>E. 4</w:t>
      </w:r>
    </w:p>
    <w:p>
      <w:r>
        <w:t>4.1Â Â Â Â  Es ist unbestritten, dass beim Verkauf des Lagerhauses in B.___ am 22. Oktober 1999 ein Gewinn in der HÃ¶he von Fr. 29'535'947.-- erzielt worden ist und auf die an der Erbengemeinschaft beteiligte BeschwerdefÃ¼hrerin ein Anteil von Fr. 4'922'657.-- entfÃ¤llt (Urk. 8/4 [RÃ¼ckseite] = Urk. 8/6). Dieser Gewinn setzt sich zusammen aus dem reinen Handelsgewinn in der HÃ¶he von Fr. 4'722'657.-- und einer aufgelÃ¶sten RÃ¼ckstellung im Umfang von Fr. 200'000.-- (Urk. 1 S. 2).</w:t>
      </w:r>
    </w:p>
    <w:p>
      <w:r>
        <w:t>4.2Â Â Â Â  Da sich die Kollektivgesellschaft C.___, in welche Aktiven und Passiven der Einzelfirma beziehungsweise des ungeteilten Nachlasses im Januar 2002 eingebracht worden sind, weiterhin im Liegenschaftenhandel betÃ¤tigt - auf weitere, teils bereits vollzogene und teils in Aussicht genommene VerkaufsgeschÃ¤fte wurde ausdrÃ¼cklich hingewiesen (Urk. 1) - liegen, worin der BeschwerdefÃ¼hrerin grundsÃ¤tzlich beigepflichtet werden kann, keine Sachverhalte vor, auf welche die in Art. 47 DBG geregelten Sonderveranlagungen zutreffen wÃ¼rden. Weder steht eine Beendigung der Steuerpflicht noch eine Zwischenveranlagung in Frage.</w:t>
      </w:r>
    </w:p>
    <w:p>
      <w:r>
        <w:t>Â Â Â Â Â Â Â Â  Immerhin beinhaltet der von den SteuerbehÃ¶rden gemeldete Gewinn im Umfang von Fr. 200'000.-- aufgelÃ¶ste Reserven, welche im Zeitpunkt ihrer AuflÃ¶sung steuerlich als Einkommen erfasst werden, d.h. wenn die VermÃ¶genswerte, auf denen stille Reserven ruhen, entweder verÃ¤ussert oder aufgewertet werden (vgl. Richner/Frei/Kaufmann, Kommentar zum harmonisierten ZÃ¼rcher Steuergesetz, ZÃ¼rich 1999, Â§ 75 N 2). Nach der Rechtsprechung des Bundesgerichts zu Art. 218 Abs. 3 DBG werden nach dem Wortlaut des Gesetzes sÃ¤mtliche RealisationstatbestÃ¤nde stiller Reserven als ausserordentliche EinkÃ¼nfte besteuert, unabhÃ¤ngig davon, ob diese im Rahmen der ordentlichen GeschÃ¤ftstÃ¤tigkeit angefallen sind (nicht publiziertes Urteil des Bundesgerichts vom 28. Januar 1999, 2A.200/1998, zit. in Richner/Frei/Kaufmann, a.a.O., Â§ 278 N 5).</w:t>
      </w:r>
    </w:p>
    <w:p>
      <w:r>
        <w:t>4.3Â Â Â Â  Im Weiteren hat das Bundesgericht in konstanter Rechtsprechung zum gewerbsmÃ¤ssigen Liegenschaftenhandel erkannt, dass sÃ¤mtliche Gewinne aus gewerbsmÃ¤ssigem Liegenschaftenhandel, die in einer steuerlichen BemessungslÃ¼cke erzielt wurden, sei dies infolge Zwischenveranlagung wegen GeschÃ¤ftsaufgabe oder Beendigung der Steuerpflicht nach Art. 47 DBG oder infolge Ãbergangs auf die Gegenwartsbemessung, als ausserordentliches Einkommen zu qualifizieren und einer Sonderbesteuerung zu unterwerfen sind. Dabei hat das Bundesgericht ausgefÃ¼hrt, sÃ¤mtliche Wertzuwachsgewinne, also auch die aus der Realisierung der stillen Reserven auf den als Handelsobjekten dienenden GrundstÃ¼cken, seien als ausserordentliche Gewinne zu besteuern. Die Ausscheidung einer Komponente "ordentlicher Betriebsgewinn" hat das Bundesgericht als illusorisch bezeichnet, zumal der Immobilienhandel durch AperiodizitÃ¤t bei der Gewinnerzielung charakterisiert sei (Urteil des Schweizerischen Bundesgerichts in Sachen A. vom 28. Mai 2004, 2P.130/2003 bzw. 2A.237/2003, und in Sachen X. vom 22. Dezember 2004, 2A.543/2004).</w:t>
      </w:r>
    </w:p>
    <w:p>
      <w:r>
        <w:t>Â Â Â Â Â Â Â Â  Da der Kanton ZÃ¼rich steuerrechtlich per 1. Januar 1999 zur jÃ¤hrlichen Gegenwartsbemessung Ã¼berging, die Einkommen der Jahre 1997 und 1998 in die BemessungslÃ¼cke fielen, in AHV-rechtlicher Hinsicht der Systemwechsel jedoch erst auf den 1. Januar 2001 vollzogen wurde, stellt sich in Ã¼bergangsrechtlicher Hinsicht die Frage, wie der im Jahre 1999 erfasste Gewinn zu behandeln ist.</w:t>
      </w:r>
    </w:p>
    <w:p>
      <w:r>
        <w:t>Â Â Â Â Â Â Â Â GemÃ¤ss Abs. 1 der Ãbergangsbestimmungen zur Ãnderung der AHVV auf den 1. Januar 2001 richtet sich die Erhebung der BeitrÃ¤ge fÃ¼r Kalenderjahre vor dem Inkrafttreten dieser Ãnderung nach bisherigem Recht.</w:t>
      </w:r>
    </w:p>
    <w:p>
      <w:r>
        <w:t>Â Â Â Â Â Â Â Â  GemÃ¤ss Abs. 2 der Schlussbestimmungen der Ãnderung der AHVV vom 1. MÃ¤rz 2000 wird auf Kapitalgewinnen nach Art. 17, die vor dem Inkrafttreten dieser Ãnderung erzielt wurden und die einer Jahressteuer nach Art. 47 oder 218 Abs. 2 DBG unterliegen oder bei Veranlagung der direkten Bundessteuer nach Art. 41 DBG weder im ordentlichen noch im ausserordentlichen Verfahren erfasst werden kÃ¶nnen, ein Sonderbeitrag nach den bisherigen Artikeln 23 bis , 23 bis a und 23 ter erhoben.</w:t>
      </w:r>
    </w:p>
    <w:p>
      <w:r>
        <w:t>Â Â Â Â Â Â Â Â  In den ErlÃ¤uterungen zur Ãnderung der AHVV auf den 1. Januar 2001 wird in Bezug auf die Ãbergangsbestimmungen ausgefÃ¼hrt, infolge des Ãbergangs auf die einjÃ¤hrige Gegenwartsbemessung per 1. Januar 2001 wÃ¼rden die Jahre 1999 und 2000 in eine BemessungslÃ¼cke fallen (AHI 2000 S. 134). Die Erfassung der Kapitalgewinne, die wÃ¤hrend der BemessungslÃ¼cke erzielt wÃ¼rden, sei bereits aufgrund der bisherigen Bestimmungen von Art. 23 bis - falls die Kapitalgewinne einer Jahressteuer nach Artikel 47 oder 218 DBG unterlÃ¤gen - und Art. 23 bis a - wenn sie schon im Verfahren der einjÃ¤hrigen Gegenwartsbemessung veranlagt werden - sichergestellt. Dies werde in Absatz 2 der Ãbergangsbestimmungen ausdrÃ¼cklich festgehalten. Demnach hat die Beschwerdegegnerin zu Recht den im Jahre 1999 erzielten und damit in eine BemessungslÃ¼cke fallenden Liegenschaftengewinn gestÃ¼tzt auf Art. 23 bis a AHVV als Sonderbeitrag der AHV-Beitragspflicht unterstellt (vgl. auch Prozess Nr. AB.2005.00079 in Sachen G.; Urteil vom 29. Mai 2006).</w:t>
      </w:r>
    </w:p>
    <w:p>
      <w:r>
        <w:t>4.4Â Â Â Â  In quantitativer Hinsicht ist die Beitragserhebung unbestritten und gibt zu keinen Bemerkungen Anlass.</w:t>
      </w:r>
    </w:p>
    <w:p>
      <w:r>
        <w:t>Â Â Â Â Â Â Â Â  Der angefochtene Einspracheentscheid vom 28. Oktober 2005 erweist sich als korrekt. Die Beschwerde ist daher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 Zustellung gegen Empfangsschein an:</w:t>
      </w:r>
    </w:p>
    <w:p>
      <w:r>
        <w:t>- Trigema AG</w:t>
      </w:r>
    </w:p>
    <w:p>
      <w:r>
        <w:t>- Sozialversicherungsanstalt des Kantons ZÃ¼rich, Ausgleichskasse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