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AB.2005.00109 vom 30. Juli 2007</w:t>
      </w:r>
    </w:p>
    <w:p>
      <w:r>
        <w:t>ZH Sozialversicherungsgericht, 2007-07-30, DE</w:t>
      </w:r>
    </w:p>
    <w:p>
      <w:r>
        <w:rPr>
          <w:b/>
        </w:rPr>
        <w:t xml:space="preserve">Quelle: </w:t>
      </w:r>
      <w:r>
        <w:t>https://mcp.opencaselaw.ch/entscheid/zh_sozialversicherungsgericht_AB.2005.00109</w:t>
      </w:r>
    </w:p>
    <w:p>
      <w:r>
        <w:t>FR: ZH_SOZIALVERSICHERUNGSGERICHT AB.2005.00109 du 30 juillet 2007</w:t>
      </w:r>
    </w:p>
    <w:p>
      <w:r>
        <w:t>IT: ZH_SOZIALVERSICHERUNGSGERICHT AB.2005.00109 del 30 luglio 2007</w:t>
      </w:r>
    </w:p>
    <w:p>
      <w:pPr>
        <w:pStyle w:val="Heading2"/>
      </w:pPr>
      <w:r>
        <w:t>Erwägungen</w:t>
      </w:r>
    </w:p>
    <w:p>
      <w:r>
        <w:rPr>
          <w:b/>
        </w:rPr>
        <w:t>E. 3</w:t>
      </w:r>
    </w:p>
    <w:p>
      <w:r>
        <w:t>3.1Â Â Â Â  Nach Art. 47 Abs. 1 AHVG sind unrechtmÃ¤ssig bezogene Renten und HilflosenentschÃ¤digungen zurÃ¼ckzuerstatten. Bei gutem Glauben und gleichzeitigem Vorliegen einer grossen HÃ¤rte kann von der RÃ¼ckforderung abgesehen werden.</w:t>
      </w:r>
    </w:p>
    <w:p>
      <w:r>
        <w:t>3.2Â Â Â Â  Zu Unrecht bezogene Geldleistungen, die auf einer formell rechtskrÃ¤ftigen VerfÃ¼gung beruhen, kÃ¶nnen zurÃ¼ckgefordert werden, wenn die fÃ¼r die WiedererwÃ¤gung (wegen zweifelloser Unrichtigkeit und erheblicher Bedeutung der Berichtigung) oder die fÃ¼r die prozessuale Revision (wegen vorbestandener neuer Tatsachen und Beweismittel) bestehenden Voraussetzungen erfÃ¼llt sind (BGE 129 V 110 Erw. 1, 126 V 299 Erw. 1). Vorbehalten bleiben die Situationen, in welchen sÃ¤mtliche Voraussetzungen fÃ¼r eine - gestÃ¼tzt auf den Vertrauensschutz - vom Gesetz abweichende Behandlung gegeben sind (vgl. etwa Urteil des EidgenÃ¶ssischen Versicherungsgerichts vom 10. Mai 2006 in Sachen W., U 378/05 Erw. 4.5 unter Hinweis auf BGE 116 V 298). Als zweifellos unrichtig gilt eine gesetzwidrige Leistungszusprechung in der Regel dann, wenn die Leistungszusprechung auf Grund falscher oder unzutreffender Rechtsregeln erlassen wurden oder bei deren Erlass massgebliche Bestimmungen nicht oder nicht richtig angewandt wurden (vgl. unverÃ¶ffentlichtes Urteil des EidgenÃ¶ssischen Versicherungsgerichts vom 10. Mai 2006 in Sachen W., U 378/05 Erw. 5.3 unter Hinweis auf BGE 126 V 401).</w:t>
      </w:r>
    </w:p>
    <w:p>
      <w:r>
        <w:t>3.3Â Â Â Â  Es ist vorliegend zu Recht nicht streitig, dass die BeschwerdefÃ¼hrerin, die im Jahre 1994 aus Deutschland kommend in die Schweiz eingereist war (vgl. etwa Urk. 10/22), die fÃ¼r die Ausrichtung einer ausserordentlichen Altersrente erforderliche Voraussetzung einer mindestens 10-jÃ¤hrigen ununterbrochenen Aufenthaltsdauer in der Schweiz (vor dem Zeitraum, fÃ¼r welchen die streitigen Rentenbetreffnisse ausgerichtet wurden) nicht erfÃ¼llt hatte; entsprechend beanstandet die BeschwerdefÃ¼hrerin denn auch nicht die Aufhebung der Rente ex nunc (vgl. Urk. 1 S. 4). Folglich ist unumstritten, dass die Zusprache der ausserordentlichen Altersrente nicht den massgeblichen Bestimmungen entsprach, womit sie zweifellos unrichtig war. Es steht sodann angesichts der HÃ¶he des streitigen Betrages auch ausser Frage, dass die Berichtigung von erheblicher Bedeutung ist.</w:t>
      </w:r>
    </w:p>
    <w:p>
      <w:r>
        <w:t>Â Â Â Â Â Â Â Â  Streitig ist hingegen, ob sich - wie die BeschwerdefÃ¼hrerin geltend macht - ein Anspruch auf eine ausserordentliche Altersrente aus dem Grundsatz des Vertrauensschutzes ableiten lÃ¤sst (vgl. Urk. 15 S. 4) und damit, ob hier die Voraussetzungen fÃ¼r eine vom Gesetz abweichende Behandlung vorliegen.</w:t>
      </w:r>
    </w:p>
    <w:p>
      <w:r>
        <w:rPr>
          <w:b/>
        </w:rPr>
        <w:t>E. 4</w:t>
      </w:r>
    </w:p>
    <w:p>
      <w:r>
        <w:t>4.1Â Â Â Â  Der Grundsatz von Treu und Glauben schÃ¼tzt den BÃ¼rger und die BÃ¼rgerin in ihrem berechtigten Vertrauen auf behÃ¶rdliches Verhalten und bedeutet unter anderem, dass falsche AuskÃ¼nfte von VerwaltungsbehÃ¶rden unter bestimmten Voraussetzungen eine vom materiellen Recht abweichende Behandlung der Rechtsuchenden gebieten. GemÃ¤ss Rechtsprechung und Doktrin ist eine falsche Auskunft bindend, wenn die BehÃ¶rde in einer konkreten Situation mit Bezug auf bestimmte Personen gehandelt hat (1.), wenn sie fÃ¼r die Erteilung der betreffenden Auskunft zustÃ¤ndig war oder wenn die rechtsuchende Person die BehÃ¶rde aus zureichenden GrÃ¼nden als zustÃ¤ndig betrachten durfte (2.), wenn die Person die Unrichtigkeit der Auskunft nicht ohne Weiteres erkennen konnte (3.), wenn sie im Vertrauen auf die Richtigkeit der Auskunft Dispositionen getroffen hat, die nicht ohne Nachteil rÃ¼ckgÃ¤ngig gemacht werden kÃ¶nnten (4.) und wenn die gesetzliche Ordnung seit der Auskunfterteilung keine Ãnderung erfahren hat (BGE 127 I 36 Erw. 3a, 126 II 287 Erw. 3a, zu Art. 4 Abs. 1 aBV ergangene, weiterhin geltende Rechtsprechung: BGE 121 V 66 Erw. 2a mit Hinweisen). Diese GrundsÃ¤tze - an denen mit Blick auf die hÃ¶chstrichterliche Rechtsprechung entgegen der Auffassung der BeschwerdefÃ¼hrerin (vgl. dazu Urk. 1 Ziff. 5) auch in Bezug auf das Vorliegen der 4. Voraussetzung (nicht ohne Nachteil rÃ¼ckgÃ¤ngig zu machende Dispositionen) festzuhalten ist - gelten um so mehr, wenn die BehÃ¶rde nicht nur eine Auskunft erteilt, sondern Anordnungen (z.B. zur Auszahlung von Leistungen) getroffen hat. Denn damit wird in der Regel eine noch viel eindeutigere Vertrauensbasis geschaffen als mit einer blossen Auskunft (ARV 1999 Nr. 40 S. 235 E. 3a mit Hinweisen).</w:t>
      </w:r>
    </w:p>
    <w:p>
      <w:r>
        <w:t>Â Â Â Â Â Â Â Â  Es ist zwischen den Parteien zu Recht nicht streitig, dass im vorliegenden Fall die gemÃ¤ss angefÃ¼hrter Rechtsprechung erforderlichen Voraussetzungen 1 bis 3 und 5 gegeben sind. Streitig ist hingegen die Frage, ob die BeschwerdefÃ¼hrerin Dispositionen im Sinne der Rechtsprechung (4.) getÃ¤tigt hat.</w:t>
      </w:r>
    </w:p>
    <w:p>
      <w:r>
        <w:rPr>
          <w:b/>
        </w:rPr>
        <w:t>E. 4.2</w:t>
      </w:r>
    </w:p>
    <w:p>
      <w:r>
        <w:t>4.2.1Â Â  In diesem Zusammenhang wurde im Wesentlichen vorgebracht, im Vertrauen auf die Richtigkeit der RentenverfÃ¼gung habe die BeschwerdefÃ¼hrerin bereits Ã¼ber das erhaltene Geld verfÃ¼gt. So habe sie aus dem ausbezahlten Rentenbetrag Fr. 30'000.-- im Rahmen des Kaufs einer Liegenschaft aufgewendet. WÃ¤re die Rentennachzahlung nicht erfolgt, hÃ¤tte ihr Ehegatte den Betrag bezahlt. Die weiteren Fr. 38'540.-- habe die BeschwerdefÃ¼hrerin zur Begleichung von Schulden vorwiegend gegenÃ¼ber ihrem Ehegatten aufgewendet (sie hÃ¤tte mit einem Schulderlass rechnen kÃ¶nnen) sowie fÃ¼r Projektierungskosten im Zusammenhang mit der beabsichtigten, in der Folge jedoch nicht vollzogenen Renovation einer Liegenschaft in B.___. Schliesslich habe die BeschwerdefÃ¼hrerin ihre kommerzielle TÃ¤tigkeit als freischaffende KÃ¼nstlerin wegen der Rentennachzahlung reduziert. HÃ¤tte sie gewusst, dass sie auf die ausserordentliche Rente keinen Anspruch habe, hÃ¤tte sie alles daran gesetzt, einen Teil ihres Finanzbedarfs durch kommerzielles Ausnutzen ihres kÃ¼nstlerischen Schaffens zu decken. Schliesslich sei zu berÃ¼cksichtigen, dass die BeschwerdefÃ¼hrerin durch die RÃ¼ckzahlungsverpflichtung in eine schwere finanzielle Krise geraten wÃ¼rde (vgl. Urk. 1 S. 6 ff.).</w:t>
      </w:r>
    </w:p>
    <w:p>
      <w:r>
        <w:t>4.2.2Â Â  In ihrer Beschwerdeanwort vom 1. Dezember 2005 fÃ¼hrte die Ausgleichskasse im Wesentlichen aus, im Schreiben vom 19. Mai 2004 (richtig wohl: 16. Juni 2004) habe die BeschwerdefÃ¼hrerin noch geltend gemacht, sie habe (neben der Zahlung von Fr. 30'000.-- im Rahmen des Kaufs einer Immobilie, vgl. Urk. 10/6 in Verbindung mit Urk. 10/2) als Folge der Rentennachzahlung einen aufwÃ¤ndigeren Lebensstil gepflegt und auf diese Weise das restliche Geld verbraucht. Der Verbrauch von Geldmitteln gelte nach der Rechtsprechung jedoch nicht als Disposition. Ebensowenig stellten die Aufwendungen eines Teils der Rentennachzahlung fÃ¼r den angeblichen Erwerb des Miteigentumsanteils an einer Liegenschaft und des andern Teils fÃ¼r die Begleichung von Schulden Dispositionen im Sinne der Rechtsprechung dar. Hinsichtlich der geltend gemachten Reduktion der ErwerbstÃ¤tigkeit sei sodann darauf hinzuweisen, dass die eingereichte Liste der im Zeitraum von 1990 bis 2004 erfolgten Ausstellungen nicht darauf schliessen lasse, dass eine namhafte Reduktion stattgefunden habe. Im Gegenteil stelle sich die Frage, wie hoch die Einnahmen gewesen seien, welche die BeschwerdefÃ¼hrerin durch diese Ausstellungen erzielt habe (vgl. Urk. 9 Ziff. 4).</w:t>
      </w:r>
    </w:p>
    <w:p>
      <w:r>
        <w:t>4.2.3Â Â  Im Rahmen der Replik vom 2. Mai 2006 liess die BeschwerdefÃ¼hrerin an ihren bisherigen AusfÃ¼hrungen festhalten und ergÃ¤nzend Folgendes ausfÃ¼hren: Nach Erhalt der streitigen Rentenbetreffnisse habe sie einen aufwÃ¤ndigeren Lebensstil gepflegt und sich darauf eingerichtet, grosszÃ¼giger mit dem Geld umzugehen. Sie habe das Geld nicht einfach fÃ¼r den Ã¼blichen Lebensunterhalt verwendet, sondern Ausgaben getÃ¤tigt, die sie sonst nicht gehabt hÃ¤tte. Namentlich habe sie sich im Juni 2002 im Rahmen eines Umbaus zu einer grosszÃ¼gigen luxuriÃ¶sen KÃ¼che entschieden, fÃ¼r deren Einbau sie insgesamt Fr. 56'896.20 aufgewendet habe. Hinsichtlich der unterlassenen ErwerbstÃ¤tigkeit als KÃ¼nstlerin sei entgegen der Auffassung der Beschwerdegegnerin sodann nicht von Belang, wieviel die BeschwerdefÃ¼hrerin mit ihren Ausstellungen verdient habe. Entscheidend sei einzig, dass es die BeschwerdefÃ¼hrerin im Vertrauen auf die Renteneinnahmen unterlassen habe, ihre kÃ¼nstlerische TÃ¤tigkeit weiter zu kommerzialisieren. So habe sie nach Erhalt der RentenverfÃ¼gung ihr BemÃ¼hen um regionale und nationale Verankerung abgebrochen und ihre kommerzielle TÃ¤tigkeit eingestellt. Im Jahr 2004 habe die BeschwerdefÃ¼hrerin zwar effektiv noch einmal eine Ausstellung realisiert, die bereits abgebrochenen Verbindungen hÃ¤tten sich aber nicht mehr reaktivieren lassen. Der Fall sei weitgehend identisch mit dem Fall einer Aargauer Lehrerin, die sich aufgrund einer falschen Auskunft der Pensionskasse frÃ¼hzeitig habe pensionieren lassen und nach den bundesgerichtlichen Feststellungen nicht zur RÃ¼ckzahlung habe verpflichtet werden kÃ¶nnen (vgl. Urk. 15 S. 7 ff).</w:t>
      </w:r>
    </w:p>
    <w:p>
      <w:r>
        <w:t>4.3Â Â Â Â</w:t>
      </w:r>
    </w:p>
    <w:p>
      <w:r>
        <w:t>4.3.1Â Â  Wie die Beschwerdegegnerin in ihrer Vernehmlassung zutreffend ausgefÃ¼hrt hat, gilt nach der Rechtsprechung der blosse Verbrauch von unrechtmÃ¤ssig bezogenen Geldmitteln nicht als Disposition im Sinne der 4. Voraussetzung des Vertrauensschutzes (vgl. etwa unverÃ¶ffentlichtes Urteil des damaligen EidgenÃ¶ssischen Versicherungsgerichts vom 12. Mai 2004 in Sachen O., U 88/03, Erw. 6.2.2, mit Hinweisen). Soweit die BeschwerdefÃ¼hrerin geltend macht, sie habe die erhaltenen Mittel im Vertrauen auf die Richtigkeit der RentenverfÃ¼gung bereits verbraucht und sei nicht mehr bereichert, vermag sie daraus nichts zu ihren Gunsten abzuleiten, da auch in den von ihr angefÃ¼hrten Ausgaben keine schÃ¼tzenswerten Dispositionen zu erkennen sind. Dies gilt namentlich auch fÃ¼r die Begleichung von Schulden, hinsichtlich derer mit einem Schulderlass hÃ¤tte gerechnet werden kÃ¶nnen (vgl. Urk. 1 S. 7), da im Vergleich zu einer Schenkung, welche rechtsprechungsgemÃ¤ss ebenfalls nicht als Disposition im Sinne der 4. Voraussetzung gilt, kein rechtserheblicher Unterschied ausgemacht werden kann (vgl. erwÃ¤hntes unverÃ¶ffentlichtes Urteil des damaligen EidgenÃ¶ssischen Versicherungsgerichts vom 12. Mai 2004 in Sachen O., U 88/03, Erw. 6.2.2). Die verschiedenen Rechtsschriften enthalten divergierende Angaben der BeschwerdefÃ¼hrerin hinsichtlich des Verwendungszweckes der empfangenen Rentenleistungen. Nach dem Gesagten kann aber offenbleiben, wofÃ¼r sie die erhaltenen Zahlungen tatsÃ¤chlich verwendet hat, das heisst ob sie diese - wie in der Beschwerde ausgefÃ¼hrt - im Zusammenhang mit dem Erwerb der Liegenschaft A.___ , fÃ¼r die Begleichung von Schulden gegenÃ¼ber ihrem Ehegatten sowie fÃ¼r Projektierungskosten im Zusammenhang mit der nicht vollzogenen Renovation einer Liegenschaft in B.___ aufgewendet oder - wie im Gegensatz dazu replicando vorgebracht - grÃ¶sstenteils fÃ¼r den Einbau einer neuen KÃ¼che ausgegeben und letztlich einfach einen aufwÃ¤ndigeren Lebensstil gefÃ¼hrt hat.</w:t>
      </w:r>
    </w:p>
    <w:p>
      <w:r>
        <w:t>4.3.2Â Â  Soweit die BeschwerdefÃ¼hrerin vorbringen lÃ¤sst, sie habe es nach Erhalt der RentenverfÃ¼gung unterlassen, ihr kÃ¼nstlerisches Schaffen weiter zu kommerzialisieren, wird in der Vernehmlassung ebenfalls zutreffend ausgefÃ¼hrt, dass sich aus dem von der BeschwerdefÃ¼hrerin eingereichten Ausstellungsplan (betr. Ausstellungen seit 1990; vgl. Urk. 10/5) kein Hinweis auf eine Reduktion oder - wie replicando geltend gemacht - gar auf die Aufgabe ihres kommerziellen kÃ¼nstlerischen Schaffens ergibt. Vielmehr ist daraus ersichtlich, dass die BeschwerdefÃ¼hrerin (auch) nach der Rentennachzahlung - im Jahr 2004 - eine Ausstellung durchfÃ¼hrte, was im Ãbrigen dem bisherigen Ausstellungsrhythmus entsprach (vgl. frÃ¼here Ausstellungen seit Einreise in die Schweiz in den Jahren 1995, 1998, 2001). Die Ausstellung erfolgte alsdann - wie bereits im Jahr 2001 - in der Galerie C.___ (vgl. Urk. 10/5), was gegen den replicando geltend gemachten Abbruch beziehungsweise den gÃ¤nzlichen Verlust frÃ¼herer GeschÃ¤ftsverbindungen spricht. Im Ãbrigen findet sich nach wie vor eine Internetseite betreffend das kÃ¼nstlerische Schaffen der BeschwerdefÃ¼hrerin mit Hinweis auf die Galerie C.___. Sodann hat die BeschwerdefÃ¼hrerin - wohl mit Blick darauf, dass im Kunsthandel EinkÃ¼nfte nicht im Voraus abschÃ¤tzbar sind (vgl. Urk. 15 S. 9) - nicht geltend machen lassen, dass ihr (bezifferbare) EinkommensausfÃ¤lle entstanden wÃ¤ren. Damit deuten die Akten nicht auf relevante Dispositionen im Sinne der Rechtsprechung hin. Dies gilt um so mehr, als keine UmstÃ¤nde ersichtlich sind, die (selbst im Falle einer vorÃ¼bergehenden, bis zum Erhalt der RÃ¼ckforderungsverfÃ¼gung vom 24. Juli 2002 maximal sechs Monate dauernden Aufgabe ihrer kÃ¼nstlerischen TÃ¤tigkeit) gegen eine jederzeit mÃ¶gliche Wiederaufnahme ihres kommerziellen kÃ¼nstlerischen Schaffens gesprochen hÃ¤tten.</w:t>
      </w:r>
    </w:p>
    <w:p>
      <w:r>
        <w:t>Â Â Â Â Â Â Â Â  Damit verhÃ¤lt es sich vorliegend auch fraglos anders als im erwÃ¤hnten Fall einer Lehrerin, die infolge einer unrichtigen Auskunft der Pensionskasse in Bezug auf die HÃ¶he der Austrittsleistung zwei Jahre vor Erreichen des Rentenalters ihre Stelle kÃ¼ndigte. Denn diese KÃ¼ndigung ging mit dem (definitiven) Verlust ihrer Arbeitsstelle sowie dem damit verbundenen (bezifferbaren) Verlust vorsorgerechtlicher AnsprÃ¼che einher (vgl. unverÃ¶ffentlichtes Urteil des damaligen EidgenÃ¶ssischen Versicherungsgsgerichts vom 24. Oktober 2003 in Sachen B., B 59/01).</w:t>
      </w:r>
    </w:p>
    <w:p>
      <w:r>
        <w:t>4.4Â Â Â Â  Nach dem Gesagten ergeben sich weder aufgrund der AusfÃ¼hrungen der BeschwerdefÃ¼hrerin noch aufgrund der Akten Hinweise auf Dispositionen, welche nach der Rechtsprechung die gesetzliche RÃ¼ckerstattungsverpflichtung unter dem Titel des Vertrauensschutzes aufzuheben vermÃ¶chten. Unter den gegebenen UmstÃ¤nden ist von zusÃ¤tzlichen Beweiserhebungen, insbesondere der beantragten Befragung der BeschwerdefÃ¼hrerin und ihres Ehegatten abzusehen (vgl. Urk. 1 S. 9, Urk. 15 S. 9), weil davon keine (neuen) rechtserheblichen Erkenntnisse zu erwarten sind (antizipierte BeweiswÃ¼rdigung).</w:t>
      </w:r>
    </w:p>
    <w:p>
      <w:r>
        <w:t>4.5Â Â Â Â  Anzumerken bleibt, dass im vorliegenden Verfahren nicht zu prÃ¼fen ist, ob die BeschwerdefÃ¼hrerin - wie sie geltend machen lÃ¤sst - durch die RÃ¼ckzahlungsverpflichtung in eine schwere finanzielle Krise geraten wÃ¼rde. Dieser Aspekt wird gegebenenfalls im Rahmen eines Verfahrens betreffend Erlass der RÃ¼ckforderung zu wÃ¼rdigen sein.</w:t>
      </w:r>
    </w:p>
    <w:p>
      <w:r>
        <w:t>Das Gericht erkennt:</w:t>
      </w:r>
    </w:p>
    <w:p>
      <w:r>
        <w:t>1.Â Â Â Â Â Â Â Â  Die Beschwerde wird abgewiesen.</w:t>
      </w:r>
    </w:p>
    <w:p>
      <w:r>
        <w:t>2.Â Â Â Â Â Â Â Â  Das Verfahren ist kostenlos.</w:t>
      </w:r>
    </w:p>
    <w:p>
      <w:r>
        <w:t>3.Â Â Â Â Â Â Â Â  Zustellung gegen Empfangsschein an:</w:t>
      </w:r>
    </w:p>
    <w:p>
      <w:r>
        <w:t>- Sozialversicherungsanstalt des Kantons ZÃ¼rich, Ausgleichskasse</w:t>
      </w:r>
    </w:p>
    <w:p>
      <w:r>
        <w:t>- Rechtsanwalt Dr. Peter F. Siegen, unter Beilage von Urk. 19</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