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AB.2005.00032 vom 17. März 2008</w:t>
      </w:r>
    </w:p>
    <w:p>
      <w:r>
        <w:t>ZH Sozialversicherungsgericht, 2008-03-17, DE</w:t>
      </w:r>
    </w:p>
    <w:p>
      <w:r>
        <w:rPr>
          <w:b/>
        </w:rPr>
        <w:t xml:space="preserve">Quelle: </w:t>
      </w:r>
      <w:r>
        <w:t>https://mcp.opencaselaw.ch/entscheid/zh_sozialversicherungsgericht_AB.2005.00032</w:t>
      </w:r>
    </w:p>
    <w:p>
      <w:r>
        <w:t>FR: ZH_SOZIALVERSICHERUNGSGERICHT AB.2005.00032 du 17 mars 2008</w:t>
      </w:r>
    </w:p>
    <w:p>
      <w:r>
        <w:t>IT: ZH_SOZIALVERSICHERUNGSGERICHT AB.2005.00032 del 17 marzo 2008</w:t>
      </w:r>
    </w:p>
    <w:p>
      <w:pPr>
        <w:pStyle w:val="Heading2"/>
      </w:pPr>
      <w:r>
        <w:t>Erwägungen</w:t>
      </w:r>
    </w:p>
    <w:p>
      <w:r>
        <w:rPr>
          <w:b/>
        </w:rPr>
        <w:t>E. 4</w:t>
      </w:r>
    </w:p>
    <w:p>
      <w:r>
        <w:t>4.1Â Â Â Â  Strittig ist weiter, ob die fÃ¼r die Jahre 1996 bis 1999 von der Arbeitgeberin zu Gunsten von C.___ an die Stiftung D.___ Ã¼berwiesenen BetrÃ¤ge in der HÃ¶he von 70 % der fÃ¼r diese Jahre ausbezahlten Boni der Beitragspflicht unterliegen. Eine detaillierte Zusammenstellung der in den Jahren 1997 bis 2000 fÃ¼r die Jahre 1996 bis 1999 jeweils Ã¼berwiesenen ausserordentlichen BeitrÃ¤ge findet sich im Gutachten von Rechtsanwalt Dr. E.___ vom 7. Juni 2002 betreffend Pensionen und BezÃ¼ge zu Gunsten von B.___ und C.___ zwischen 1988 und 2002 und den dazugehÃ¶rigen Beilagen (Urk. 7/12 S. 104 ff., Urk. 7/13/210 ff.).</w:t>
      </w:r>
    </w:p>
    <w:p>
      <w:r>
        <w:t>4.2Â Â Â Â  Die BeschwerdefÃ¼hrerinnen machen geltend, die fraglichen BetrÃ¤ge unterlÃ¤gen nicht der Beitragspflicht. Es handle sich um ausserordentliche BeitrÃ¤ge zur Verbesserung der Altersrente im Sinne von Art. 7 Abs. 3 des Reglements der Stiftung D.___ (vgl. Urk. 7/6/8 S. 7). Diese reglementarischen BeitrÃ¤ge im Sinne von Art. 8 Abs. 1 lit. a AHVV gehÃ¶rten nicht zum massgebenden Lohn (Urk. 1 S. 8 ff. Ziff. 5, Urk. 7/5 S. 5 ff. Ziff. 5).</w:t>
      </w:r>
    </w:p>
    <w:p>
      <w:r>
        <w:t>Â Â Â Â Â Â Â Â  Die Beschwerdegegnerin vertritt demgegenÃ¼ber den Standpunkt, die BeitrÃ¤ge seien aus den BonusansprÃ¼chen und somit aus Einkommen von C.___ finanziert worden. Es handle sich nicht um von der Arbeitgeberin finanzierte BeitrÃ¤ge, sondern vielmehr um eine indirekte Lohnzahlung, weshalb die Beitragsbefreiung gemÃ¤ss Art. 8 Abs.1 lit. a AHVV keine Anwendung finde (vgl. Urk. 2 S. 9 ff. Ziff. 5).</w:t>
      </w:r>
    </w:p>
    <w:p>
      <w:r>
        <w:t>4.3Â Â Â Â  Die Anwendbarkeit von Art. 8 Abs. 1 lit. a AHVV setzt zunÃ¤chst voraus, dass die Leistungen an eine Vorsorgeeinrichtung erfolgt, welche die Voraussetzungen der Steuerbefreiung nach dem Bundesgesetz Ã¼ber die direkte Bundessteuer (DBG) erfÃ¼llt. Dies ist vorliegend unbestritten. Die (inzwischen nicht mehr existierende) Stiftung D.___ war eine im Sinne von Art. 56 lit. e DBG von der Steuerpflicht befreite Einrichtung der beruflichen Vorsorge.</w:t>
      </w:r>
    </w:p>
    <w:p>
      <w:r>
        <w:t>4.4Â Â Â Â  Art. 7 Abs. 3 des Reglements der Stiftung D.___ in der ab 1. MÃ¤rz 1996 und im vorliegenden Zeitraum gÃ¼ltigen Fassung lautet wie folgt (Urk. 7/6/8 S. 7):</w:t>
      </w:r>
    </w:p>
    <w:p>
      <w:r>
        <w:t>Â Â Â Â Â Â Â Â  ÂDer Arbeitgeber erbringt jÃ¤hrlich zur Verbesserung der Altersrente (...) einen ausserordentlichen Beitrag. Die HÃ¶he richtet sich nach der Stellung der versicherten Person beim Arbeitgeber und betrÃ¤gt 30 %, 50 % oder 70 % der leistungsbezogenen VergÃ¼tung. Der ausserordentlichen Beitrag wird unmittelbar dem Sparkapital gutgeschrieben.Â</w:t>
      </w:r>
    </w:p>
    <w:p>
      <w:r>
        <w:t>Â Â Â Â Â Â Â Â  Konkret erhielt C.___ jÃ¤hrlich vom Chairman of the Board schriftlich die HÃ¶he der leistungsbezogenen VergÃ¼tung (Bonus) mitgeteilt. Dieselbe setzte sich aus quantitativen, das heisst am Gruppenergebnis orientierten Elementen, und einer auf dem Erfolg im persÃ¶nlichen Verantwortungsbereich basierenden qualitativen Komponente zusammen. Von dieser VergÃ¼tung flossen jeweils 70 % als ausserordentlicher Arbeitgeberbeitrag im Sinne von Art. 7 Abs. 3 des Reglements in die Stiftung D.___ (vgl. Urk. 7/6/9a-d, Urk. 7/12 S. 22 f., S. 104 ff.). Die BeschwerdefÃ¼hrerinnen weisen zutreffend darauf hin, dass der Abzug jeweils zwingend erfolgt sei (vgl. Urk. 1 S. 12). Den Arbeitnehmern wurde dies auch entsprechend kommuniziert (vgl. Urk. 7/6/9a und insbesondere 9d, Urk. 7/6/10). Es liegen reglementarische Leistungen vor.</w:t>
      </w:r>
    </w:p>
    <w:p>
      <w:r>
        <w:t>4.5Â Â Â Â  Dass es sich um reglementskonforme Leistungen (vgl. Urk. 1 S. 9 f. Ziff. 5.2 und S. 11 f. Ziff. 5.3) gehandelt hat, begrÃ¼ndet allein noch keine Abgabepflicht. Vorausgesetzt wird zusÃ¤tzlich, dass sie vom Arbeitgeber geleistet werden. Mit anderen Worten muss die Zuwendung aus freien Mitteln des Arbeitgebers stammen und nicht aus solchen des Personals, beispielsweise infolge Verrechnung mit arbeitsvertraglichen AnsprÃ¼chen des BegÃ¼nstigten. In einem solchen Fall ist von einer indirekten Lohnzahlung auszugehen (AHI 1998 S. 224 mit Hinweisen, Urteil des damaligen EidgenÃ¶ssischen Versicherungsgerichts in Sachen X. AG vom 15. Dezember 2000, H 181/00, Erw. 4, mit Hinweisen).</w:t>
      </w:r>
    </w:p>
    <w:p>
      <w:r>
        <w:t>Â Â Â Â Â Â Â Â  Vorliegend wurden die ausserordentlichen BeitrÃ¤ge an die Vorsorgeeinrichtung mit 70 % der leistungsbezogenen VergÃ¼tung an C.___ finanziert (vgl. vorstehende Erw. 4.4). Die Beschwerdegegnerin bejaht angesichts dieser Sachlage das Vorliegen einer Verrechnung mit arbeitsvertraglichen AnsprÃ¼chen respektive das Vorliegen einer indirekten Lohnzahlung. Diese Sichtweise wird durch den Umstand bestÃ¤rkt, dass gemÃ¤ss Art. 5 Abs. 2 des Reglements der Stiftung D.___ nebst dem jÃ¤hrlichen Basislohn ausdrÃ¼cklich auch die leistungsbezogene VergÃ¼tung zum versicherten Jahreslohn gehÃ¶rt (vgl. Urk. 7/6/8 S. 6).</w:t>
      </w:r>
    </w:p>
    <w:p>
      <w:r>
        <w:t>4.6Â Â Â Â  Die BeschwerdefÃ¼hrerinnen wenden ein, diese Betrachtungsweise missachte den Mechanismus zur Bestimmung des leistungsbezogenen Bonus. Das Total der leistungsbezogenen VergÃ¼tung werde gestÃ¼tzt auf die zu Jahresbeginn vereinbarten Ziele in einem komplexen Berechnungsvorgang ermittelt. Das Total der leistungsbezogenen VergÃ¼tung bilde die rechnerische Basis fÃ¼r die Bestimmung der ArbeitgeberbeitrÃ¤ge. WÃ¼rde der Argumentation der Beschwerdegegnerin gefolgt, hÃ¤tte dies zur Folge, dass der Arbeitnehmer die gesamte leistungsbezogene VergÃ¼tung ausbezahlt erhalten wÃ¼rde und der Arbeitgeber im Falle von C.___ 70 % dieser Leistung in die Vorsorge hÃ¤tte einwerfen mÃ¼ssen. Dies sei aber nicht der Fall gewesen. Effektiv seien immer nur 30 % der leistungsabhÃ¤ngigen VergÃ¼tung ausbezahlt worden. Dieses Vorgehen sei in der Wirtschaft nicht unÃ¼blich.</w:t>
      </w:r>
    </w:p>
    <w:p>
      <w:r>
        <w:t>Â Â Â Â Â Â Â Â  Die Betrachtungsweise der Beschwerdegegnerin wÃ¼rde zudem zur Folge haben, dass reglementswidrige Leistungen vorlÃ¤gen. Eine individuelle Einkaufsleistung gemÃ¤ss Art. 7 Abs. 5 des Vorsorgereglements kÃ¶nne die Leistung nicht sein, denn es mangle am ausdrÃ¼cklich erforderlichen Willen des Arbeitnehmers zu einer solchen Einlage. Es wÃ¤re gesetzwidrig, einen Arbeitnehmer zu einer Leistung an die Vorsorgeeinrichtung zu verpflichten, die hÃ¶her sei als diejenige des Arbeitgebers. Wenn dem so wÃ¤re, wÃ¼rde der Stiftung der zwingend einzulegende Arbeitgeberbeitrag gemÃ¤ss Art. 7 Abs. 3 des Reglements fehlen. Dass diese ausserordentlichen BeitrÃ¤ge des Arbeitgebers gerade nicht fehlten, sei durch die verschiedenen Unterlagen belegt (Urk. 1 S. 13 f. Ziff. 5.4).</w:t>
      </w:r>
    </w:p>
    <w:p>
      <w:r>
        <w:t>4.7Â Â Â Â  Die AusfÃ¼hrungen der BeschwerdefÃ¼hrerinnen entkrÃ¤ften den Standpunkt der Beschwerdegegnerin in keiner Weise. Dass diese Art der Ãufnung von Vorsorgeleistungen in der Wirtschaft nicht unÃ¼blich ist, hat nicht zur Folge, dass deshalb Art. 8 Abs. 1 lit. a AHVV zur Anwendung gelangt. Inwiefern der Mechanismus zur Berechnung der leistungsbezogenen VergÃ¼tung dies impliziert, legten die BeschwerdefÃ¼hrerinnen nicht dar. Im Ãbrigen sprechen keine gesetzlichen Vorschriften dagegen, dass ein Arbeitgeber zusÃ¤tzlich zur Auszahlung einer leistungsabhÃ¤ngigen VergÃ¼tung auch noch ausserordentliche BeitrÃ¤ge zu Gunsten des Arbeitnehmers an eine Vorsorgestiftung leistet.</w:t>
      </w:r>
    </w:p>
    <w:p>
      <w:r>
        <w:t>Â Â Â Â Â Â Â Â  Nicht zur Debatte steht, ob die vorliegend fraglichen Leistungen solche im Sinne von Art. 7 Abs. 5 des Stiftungsreglements darstellen. Weiterungen hierzu erÃ¼brigen sich demnach. Es wird von keiner Seite in Abrede gestellt, dass die vorliegend in Frage stehenden Leistungen solche gemÃ¤ss Art. 7 Abs. 3 des Stiftungsreglements sind. Damit ist aber nicht gleichzeitig auch die AHV-rechtliche Beurteilung dieser Leistungen definiert.</w:t>
      </w:r>
    </w:p>
    <w:p>
      <w:r>
        <w:t>Â Â Â Â Â Â Â Â  Bei der leistungsbezogenen VergÃ¼tung handelt es sich um nichts anderes als eine dem Arbeitnehmer zustehende (erfolgsabhÃ¤ngige) EntschÃ¤digung fÃ¼r seine Arbeitsleistung und somit um LohnansprÃ¼che. PraxisgemÃ¤ss Ã¤ndert sich daran selbst dann nichts, wenn der Arbeitgeber frei Ã¼ber ihre GewÃ¤hrung befinden kann (vgl. AHI 1998 S. 224).</w:t>
      </w:r>
    </w:p>
    <w:p>
      <w:r>
        <w:t>Â Â Â Â Â Â Â Â  Nichts Ã¤ndern ferner die Vorbringen der BeschwerdefÃ¼hrerinnen, aus Art. 5 Abs. 2 des Stiftungsreglements lasse sich nicht ableiten, der versicherte Jahreslohn sei auch der ausbezahlte Lohn oder gar der AHV-pflichtige Lohn. Der versicherte Lohn sei lediglich die rechnerische Basis fÃ¼r die Ermittlung der Leistungen und die daraus zu ermittelnden BeitrÃ¤ge des Arbeitgebers zur Absicherung des Leistungsziels. Es sei kein Widerspruch, wenn der versicherte Jahreslohn als BemessungsgrÃ¶sse Bestandteile enthalte, die nie - auch gedanklich nicht - ausbezahlt wÃ¼rden, weil man sich beim Leistungsversprechen ausschliesslich nach dem Gesamtpaket richte. Es sei somit plausibel, dass ein Teil des ermittelten Bonus als Arbeitgeberbeitrag direkt in die Vorsorge einbezahlt werde, denn aus Art. 5 des Reglements der Stiftung D.___ lasse sich nicht herleiten, der versicherte Lohn sei auch der zur Auszahlung bestimmte oder der AHV-pflichtige Lohn (Urk. 1 S. 12).</w:t>
      </w:r>
    </w:p>
    <w:p>
      <w:r>
        <w:t>Â Â Â Â Â Â Â Â  Dieser Betrachtungsweise kann nicht gefolgt werden. Auch wenn der versicherte Jahreslohn nicht derjenige Lohn ist, der effektiv zur Auszahlung gelangt, bedeutet dies nicht, dass den nicht zur Auszahlung gelangenden Bestandteilen kein Lohncharakter zukÃ¤me. Ansonsten wÃ¤re die Zuordnung zum versicherten Jahreslohn nicht korrekt. Auch die AusfÃ¼hrungen von Prof. F.___ im Gutachten vom 30. August 2002 zur Frage der Pensionszusagen an das oberste Management der A.___ aus Sicht der beruflichen Vorsorge, worauf die BeschwerdefÃ¼hrerinnen verweisen (vgl. Urk. 1 S. 12), bestÃ¤tigen, dass insbesondere bei Kadermitarbeitern in international tÃ¤tigen Unternehmen zum Jahreslohn nebst dem Grundlohn der leistungsabhÃ¤ngige variable Bonus zu zÃ¤hlen ist (Urk. 7/14 S. 24 f. Ziff. 7). Es ist mithin nicht daran zu zweifeln, dass die leistungsabhÃ¤ngige VergÃ¼tung zum Lohn zu zÃ¤hlen ist.Â</w:t>
      </w:r>
    </w:p>
    <w:p>
      <w:r>
        <w:t>Â Â Â Â Â Â Â Â  Betreffend die Vorbringen der BeschwerdefÃ¼hrerinnen zur Beurteilung der ausserordentlichen Leistungen durch die SteuerbehÃ¶rden und zum teilweisen Verzicht von C.___ auf anwartschaftliche Leistungen (vgl. Urk. 1 S. 14 f. Ziff. 5.5), ist auf die umfassenden und zutreffenden AusfÃ¼hrungen der Beschwerdegegnerin zu verweisen (Urk. 2 S. 13 f. Ziff. 5.6). Zutreffend weist die Beschwerdegegnerin auch darauf hin, dass in der neuen Fassung der Reglementsbestimmungen aus dem Jahr 2002 der hier zur Diskussion stehende Art. 7 Abs. 3 nicht mehr zu finden ist (vgl. Urk. 2 S. 14 Ziff. 5.6, Urk. 7/13/18 S. 8).</w:t>
      </w:r>
    </w:p>
    <w:p>
      <w:r>
        <w:t>4.8Â Â Â Â  Zusammenfassend ist mit der Beschwerdegegnerin festzuhalten, dass es sich bei den streitigen ausserordentlichen BeitrÃ¤gen an die Stiftung D.___ um Bestandteile der EntschÃ¤digung fÃ¼r die Arbeitsleistung von C.___ handelt, die diesem nicht direkt ausbezahlt, sondern zu seinen Gunsten der Vorsorgestiftung Ã¼berwiesen wurde. Als Bestandteil der leistungsabhÃ¤ngigen VergÃ¼tung gehÃ¶ren sie zum beitragspflichtigen massgebenden Lohn im Sinne von Art. 5 Abs. 2 AHVG. Die Nachforderung erfolgte demgemÃ¤ss zu Recht.</w:t>
      </w:r>
    </w:p>
    <w:p>
      <w:r>
        <w:rPr>
          <w:b/>
        </w:rPr>
        <w:t>E. 5</w:t>
      </w:r>
    </w:p>
    <w:p>
      <w:r>
        <w:t>5.1Â Â Â Â  Im Jahr 2000 bezog C.___ im Rahmen des fÃ¼r Mitarbeitende in SchlÃ¼sselpositionen bestehenden Management Incentive Programms einen Teil der GesamtentschÃ¤digung in Form von sogenannten ÂWarrant Appreciation RightsÂ (WAR; vgl. 7/6/15-17, 7/12 S. 117 Ziff. 320, Urk. 7/13/239). Auf Ende 2000 trat C.___ aus der A.___ aus. GemÃ¤ss Austrittsvereinbarung wurden die infolge der nunmehr vorzeitig erfolgten Pensionierung zuviel bezogenen WAR, die C.___ behalten wollte, mit Fr. 7'341'250.-- bewertet und an die Gesamtabfindung von Fr. 23'517'000.-- angerechnet (vgl. Urk. 7/12 S. 120 Ziff. 325).</w:t>
      </w:r>
    </w:p>
    <w:p>
      <w:r>
        <w:t>5.2Â Â Â Â  Die BeschwerdefÃ¼hrerinnen stellen sich auf den Standpunkt, bei den bezogenen WAR habe es sich um bis zum Zeitpunkt der AusÃ¼bung steuerbefreite Gestaltungsrechte gehandelt (vgl. Urk. 7/13/239). Daran habe sich durch die Abgangsregelung, zu der sich C.___ nebst der Erwartung auf eine positive Kursentwicklung nicht zuletzt auch aus steuerlichen Ãberlegungen entschlossen habe, nichts geÃ¤ndert. C.___ habe Ã¼ber die WAR weiterhin nicht verfÃ¼gen kÃ¶nnen. Seine Rechtsstellung mit Bezug auf die WAR und seine bloss anwartschaftlichen Rechte seien unbeeinflusst geblieben. Die Organe der AHV orientierten sich gemÃ¤ss ihren eigenen Richtlinien bei der Verabgabung von Mitarbeiterbeteiligungsrechten und der EinrÃ¤umung von Optionen und anwartschaftlichen Rechten an Mitarbeitende an den steuerrechtlichen Regelungen. Die Verabgabung im Ausgabezeitpunkt falle nur bei komplizierten VerhÃ¤ltnissen in Betracht, etwa wenn die Option wegen langer Laufzeit nicht bewertbar sei. Vorliegend habe die Steuerverwaltung auch nach dem Austritt von C.___ keinen Anlass gehabt, auf ihre Haltung zurÃ¼ckzukommen. Dass diese Betrachtungsweise auch im Ergebnis richtig sei, zeige die Tatsache, dass die WAR inzwischen wertlos geworden seien (Urk. 1 S. 16 f. Ziff. 6, Urk. 7/5 S. 11 f. Ziff. 6).</w:t>
      </w:r>
    </w:p>
    <w:p>
      <w:r>
        <w:t>5.3Â Â Â Â  Die Beschwerdegegnerin stellt sich auf den Standpunkt, es stehe fest, dass C.___ eine Abfindung in der HÃ¶he von Fr. 23'517'000.-- erhalten habe. Wie er diese Summe schlussendlich verwendet habe, sei seine persÃ¶nliche Entscheidung gewesen. Aus welchen GrÃ¼nden C.___ die Gestaltungsrechte in Verrechnung mit anderen AbgangsansprÃ¼chen behalten habe, sei ohne Belang. Die Gestaltung der Abgangsregelung habe im Belieben der Parteien gestanden. Am Umfang und Charakter der Vereinbarung als Abgangsregelung habe sich dadurch nichts geÃ¤ndert. C.___ seien auf seinen Wunsch hin anstelle eines Teils der Abfindung bei Austritt die Gestaltungsrechte im Wert von Fr. 7'341'250.-- belassen worden. Die zum Zeitpunkt der Verrechnung dermassen realisierte AbgangsentschÃ¤digung stelle massgebenden Lohn dar (Urk. 2 S. 14 f. Ziff. 6).</w:t>
      </w:r>
    </w:p>
    <w:p>
      <w:r>
        <w:t>5.4Â Â Â Â  AHV-rechtlich ging das Bundesamt fÃ¼r Sozialversicherung in Randziffer 2022/2 Abs. 1 des WML davon aus, dass Mitarbeiteroptionen im Zeitpunkt des Erwerbs massgebenden Lohn darstellen. Eine Ausnahme statuiert Randziffer 2022/2 Abs. 2 der WML bei Optionen mit einer Laufzeit von Ã¼ber zehn Jahren oder mit einer VerfÃ¼gungssperre von mehr als fÃ¼nf Jahren respektive mit zahlreichen Bedingungen. Diese Optionen werden Ã¼blicherweise erst im Zeitpunkt der AusÃ¼bung verabgabt, weil sie vorher in der Regel objektiv nicht bewertbar sind. In BGE 133 V 346 ff. hat das Bundesgericht diese Praxis teilweise modifiziert, indem es nun festgestellt hat, dass beitragsrechtlich bei Mitarbeiteroptionen mit Vestingklauseln allgemein der Zeitpunkt massgeblich ist, in welchem die Option effektiv ausgeÃ¼bt wird.</w:t>
      </w:r>
    </w:p>
    <w:p>
      <w:r>
        <w:t>Â Â Â Â Â Â Â Â  Die BeschwerdefÃ¼hrerinnen verweisen auch auf Ziff. 2.2 Absatz 2 des Kreisschreibens Nr. 5 der EidgenÃ¶ssischen Steuerverwaltung vom 30. April 1997, wonach nicht von Mitarbeiteroptionen im Sinne des Kreisschreibens auszugehen sei, wenn es sich um Gestaltungsrechte auf Erwerb von Beteiligungsrechten handle, deren Wert sich nicht objektiv bestimmen lasse, weil sie zahlreiche individuelle Bedingungen enthielten. Dies sei beispielsweise der Fall, wenn extrem lange Sperrfristen oder Laufzeiten bestÃ¼nden. oder wenn es an der VolatilitÃ¤t oder anderen Rechnungsparametern fehle. In diesen FÃ¤llen enthielten die Mitarbeiteroptionen blosse Anwartschaften (Urk. 1 S. 12 Ziff. 6.2).</w:t>
      </w:r>
    </w:p>
    <w:p>
      <w:r>
        <w:t>Â Â Â Â Â Â Â Â  Diese Beurteilung machte sich die EidgenÃ¶ssische Steuerverwaltung vorliegend auch zu eigen. Sie bestÃ¤tigte ausdrÃ¼cklich eine Besteuerung der Mitarbeiteroptionen von C.___ erst auf den Zeitpunkt von deren AusÃ¼bung an (Urk. 7/13/239).</w:t>
      </w:r>
    </w:p>
    <w:p>
      <w:r>
        <w:t>Â Â Â Â Â Â Â Â  Zu beachten ist indessen, dass im Rahmen der Abgangsregelung bei Beendigung des ArbeitsverhÃ¤ltnisses eine Bestimmung des Werts der Optionen vorgenommen wurde. Einvernehmlich legte man den Wert von Fr. 7'341'250.-- fest. Diese Optionen wurden in dieser HÃ¶he an die AbgangsentschÃ¤digung angerechnet. Damit stand das zu verabgabende Einkommen hinreichend fest. Zu Recht bezog die Beschwerdegegnerin diesen Betrag in die Beitragsbemessung mit ein. Dass sich die Optionen schliesslich wertmÃ¤ssig nicht so entwickelten, wie dies C.___ erhofft hatte, Ã¤ndert an dieser Betrachtungsweise nichts. Damit hatte sich lediglich das solchen Optionsrechten naturgemÃ¤ss innewohnende Risiko verwirklicht. Auch in diesem Punkte ist der Argumentation der Beschwerdegegnerin beizupflichten.</w:t>
      </w:r>
    </w:p>
    <w:p>
      <w:r>
        <w:t>6.Â Â Â Â Â Â  Abschliessend ergibt sich, dass sich das Vorgehen der Beschwerdegegnerin in allen bemÃ¤ngelten Punkten als rechtens erweist. Das Quantitativ, ersichtlich auf Seite 16 des Einspracheentscheides, wurde nicht bemÃ¤ngelt und es ergeben sich keine Anhaltspunkte, dass die Einkommensbetreffnisse und die darauf zu erhebenden BeitrÃ¤ge nicht korrekt aufgefÃ¼hrt wurden. Dies hat zur Folge, dass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BDO Visura</w:t>
      </w:r>
    </w:p>
    <w:p>
      <w:r>
        <w:t>- AHV-Ausgleichskasse der Schweizer Maschinenindustrie</w:t>
      </w:r>
    </w:p>
    <w:p>
      <w:r>
        <w:t>- Bundesamt fÃ¼r Sozialversicherung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