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AB.2004.00021 vom 23. November 2004</w:t>
      </w:r>
    </w:p>
    <w:p>
      <w:r>
        <w:t>ZH Sozialversicherungsgericht, 2004-11-23, DE</w:t>
      </w:r>
    </w:p>
    <w:p>
      <w:r>
        <w:rPr>
          <w:b/>
        </w:rPr>
        <w:t xml:space="preserve">Quelle: </w:t>
      </w:r>
      <w:r>
        <w:t>https://mcp.opencaselaw.ch/entscheid/zh_sozialversicherungsgericht_AB.2004.00021</w:t>
      </w:r>
    </w:p>
    <w:p>
      <w:r>
        <w:t>FR: ZH_SOZIALVERSICHERUNGSGERICHT AB.2004.00021 du 23 novembre 2004</w:t>
      </w:r>
    </w:p>
    <w:p>
      <w:r>
        <w:t>IT: ZH_SOZIALVERSICHERUNGSGERICHT AB.2004.00021 del 23 novembre 2004</w:t>
      </w:r>
    </w:p>
    <w:p>
      <w:pPr>
        <w:pStyle w:val="Heading2"/>
      </w:pPr>
      <w:r>
        <w:t>Erwägungen</w:t>
      </w:r>
    </w:p>
    <w:p>
      <w:r>
        <w:rPr>
          <w:b/>
        </w:rPr>
        <w:t>E. 2</w:t>
      </w:r>
    </w:p>
    <w:p>
      <w:r>
        <w:t>2.1Â Â Â Â  Der Betrag der ordentlichen Altersrente wird durch zwei Elemente bestimmt: einerseits durch das VerhÃ¤ltnis zwischen der Beitragsdauer der versicherten Person und jener ihres Jahrganges (Rentenskala) sowie anderseits auf Grund ihres durchschnittlichen Jahreseinkommens. Anspruch auf eine ordentliche Vollrente haben Versicherte mit vollstÃ¤ndiger Beitragsdauer (Art. 29 Abs. 2 lit. a des Bundesgesetzes Ã¼ber die Alters- und Hinterlassenenversicherung, AHVG), die zwischen dem 1. Januar nach Vollendung des 20. Altersjahres und dem 31. Dezember vor Eintritt des Versicherungsfalles (Rentenalter oder Tod) wÃ¤hrend gleich vielen Jahren wie ihr Jahrgang BeitrÃ¤ge geleistet haben (Art. 29 bis Abs. 1 und Art. 29 ter Abs. 1 AHVG), wobei die Jahre, wÃ¤hrend der die verheiratete Frau auf Grund von Art. 3 Abs. 2 lit. b AHVG (in der bis Ende 1996 gÃ¼ltig gewesenen Fassung) keine BeitrÃ¤ge entrichtet hat, als Beitragsjahre gezÃ¤hlt werden (Art. 29 bis Abs. 2 AHVG in der bis Ende 1996 in Kraft gestandenen Fassung, welcher gemÃ¤ss Art. 29 bis Abs. 2 AHVG in der seit 1. Januar 1997 geltenden Fassung in Verbindung mit lit. g Abs. 2 der Ãbergangsbestimmungen zur 10. AHV-Revision auch fÃ¼r die nach dem 1. Januar 1997 festzusetzenden Renten fÃ¼r die Beitragsjahre vor dem 1. Januar 1997 GÃ¼ltigkeit besitzt). Denn Art. 3 Abs. 2 lit. b aAHVG bestimmt, dass die nichterwerbstÃ¤tigen Ehefrauen von Versicherten von der Beitragspflicht befreit sind. Die beitragsfreien Jahre gemÃ¤ss Art. 29 bis Abs. 2 aAHVG kÃ¶nnen indes nur dann angerechnet werden, wenn die Ehefrau wÃ¤hrend dieser Zeit selber versichert war, denn die Voraussetzungen fÃ¼r die Versicherteneigenschaft sind grundsÃ¤tzlich persÃ¶nlich zu erfÃ¼llen (BGE 107 V 1 ff. Erw. 1 mit Hinweis; ZAK 1981 S. 338 Erw. 2).</w:t>
      </w:r>
    </w:p>
    <w:p>
      <w:r>
        <w:rPr>
          <w:b/>
        </w:rPr>
        <w:t>E. 2.2</w:t>
      </w:r>
    </w:p>
    <w:p>
      <w:r>
        <w:t>Obligatorisch versichert nach Massgabe des AHVG in der seit 1. Januar 2003 gÃ¼ltigen Fassung sind natÃ¼rliche Personen mit Wohnsitz in der Schweiz (Art. 1a Abs. 1 lit. a AHVG, ursprÃ¼nglich Art. 1 Abs. 1 lit. a AHVG), natÃ¼rliche Personen, die in der Schweiz eine ErwerbstÃ¤tigkeit ausÃ¼ben (Art. 1a Abs. 1 lit. b AHVG) sowie Schweizer BÃ¼rger, die im Ausland im Dienste der Eidgenossenschaft, im Dienste der internationalen Organisationen, mit denen der Bundesrat ein Sitzabkommen abgeschlossen hat und die als Arbeitgeber im Sinne von Artikel 12 gelten oder im Dienste privater, vom Bund namhaft subventionierter Hilfsorganisationen nach Art. 11 des Bundesgesetzes vom 19. MÃ¤rz 1976 Ã¼ber die internationale Entwicklungszusammenarbeit und humanitÃ¤re Hilfe tÃ¤tig sind (Art. 1a Abs. 1 lit. c AHVG). Vor der 10. AHV-Revision waren gemÃ¤ss Art. 1 Abs. 1 lit. c aAHVG (in der bis Ende 1996 gÃ¼ltigen Fassung) auch Schweizer BÃ¼rger obligatorisch versichert, die im Ausland fÃ¼r einen Arbeitgeber in der Schweiz tÃ¤tig waren und von diesem entlÃ¶hnt wurden.</w:t>
      </w:r>
    </w:p>
    <w:p>
      <w:r>
        <w:t>2.3Â Â Â Â  Das EidgenÃ¶ssische Versicherungsgericht hatte unter dem frÃ¼heren Recht in BGE 104 V 121 und 107 V 1 (vgl. auch ZAK 1981 S. 337) Gelegenheit, grundsÃ¤tzliche Ãberlegungen darÃ¼ber anzustellen, ob eine Frau, welche die erwÃ¤hnten Voraussetzungen fÃ¼r das obligatorische Versichertsein nicht erfÃ¼llt, die aber - wie im vorliegenden Fall - mit einem Versicherten verheiratet ist, kraft dieser Ehe - gleichsam als Ausfluss der Einheit der Ehe - ebenfalls als versichert zu gelten hat. Dies wurde in den Anfangsjahren der Alters- und Hinterlassenenversicherung denn auch gelegentlich als Wille des Gesetzgebers gesehen (vgl. BGE 117 V 110 f. Erw. 6a mit Hinweisen; KÃ¤ser, Unterstellung und Beitragswesen in der obligatorischen AHV, 2. Aufl., Bern 1996, S. 7 Rz 1.3). Das hÃ¶chste Gericht hat diese Meinung indes klar verworfen (BGE 107 V 2 Erw. 1, BGE 104 V 124 Erw. 3) und befunden, dass sich die Versicherteneigenschaft eines Schweizers, der im Ausland fÃ¼r einen Arbeitgeber in der Schweiz tÃ¤tig ist und von diesem entlÃ¶hnt wird (Art. 1 Abs. 1 lit. c aAHVG), nicht auf die mit ihm im Ausland weilende Ehegattin ausdehnt (BGE 107 V 1 Erw. 1; vgl. auch BGE 117 V 107 f. Erw. 3c und ZAK 1981 S. 338 f. Erw. 3, je Hinweisen). Ferner hat es darauf hingewiesen, dass der Schutz der Ehefrau durch das System der Ehepaarrente erreicht werde und ihr auch der Beitritt zur freiwilligen Versicherung offen stehe. Dies im Wissen darum, dass sich daraus unbefriedigende Folgen ergeben kÃ¶nnen (BGE 107 V 3 Erw. 1 und 2).</w:t>
      </w:r>
    </w:p>
    <w:p>
      <w:r>
        <w:t>2.4Â Â Â Â  In BGE 126 V 217 hat das EidgenÃ¶ssische Versicherungsgericht sich alsdann zur Frage geÃ¤ussert, ob die in BGE 104 V 121 begrÃ¼ndete und in BGE 107 V 1 bestÃ¤tigte Rechtsprechung zu Art. 1 Abs. 1 lit. b und c aAHVG auch mit Inkrafttreten der 10. AHV-Revision und der damit verbundenen Abschaffung der Ehepaar-Altersrente weiterhin Bestand habe. Es gelangte hiebei zum Schluss, dass diese Judikatur nicht in erster Linie aus der Ãberlegung entstanden war, die Ehefrau wÃ¼rde an der Ehepaarrente teilhaftig sein, sondern im Wesentlichen auf dem Argument beruhte, das Gesetz umschreibe die Voraussetzungen der Versicherteneigenschaft in einer Weise, die keine andere Interpretation zulasse, als dass jede Person diese Voraussetzungen persÃ¶nlich erfÃ¼llen mÃ¼sse. Der Hinweis auf den Schutz der Ehefrau durch die Ehepaarrente sowie auch auf die MÃ¶glichkeit des Beitritts zur freiwilligen Versicherung sollte aufzeigen, dass sich die mit der getroffenen LÃ¶sung verbundenen Konsequenzen in Grenzen halten wÃ¼rden (vgl. BGE 107 V 3 Erw. 1 und 2). Wie im zitierten Urteil weiter dargelegt wird, hat diese Betrachtungsweise durch die 10. AHV-Revision nichts an AktualitÃ¤t eingebÃ¼sst. Der Schutz der Ehefrau ist - entgegen der Ansicht der BeschwerdefÃ¼hrerin - durch das System des Rentensplittings mit Anrechnung von Beitragsjahren gemÃ¤ss Art. 29 bis Abs. 2 in Verbindung mit Art. 3 Abs. 2 lit. b aAHVG gewÃ¤hrleistet worden (lit. g Abs. 2 der Ãbergangsbestimmungen zur 10. AHV-Revision). FÃ¼r eine PraxisÃ¤nderung besteht demnach kein Anlass, und zwar umso weniger, als eine Ausdehnung der Versicherteneigenschaft des Ehemannes auf die Ehefrau kraft des Zivilstandes dem Grundanliegen der 10. AHV-Revision fÃ¼r eine zivilstandsunabhÃ¤ngige Rente der Frau diametral zuwiderlaufen wÃ¼rde. Festzuhalten bleibt, dass sich das EidgenÃ¶ssische Versicherungsgericht beim Erlass seiner Urteile BGE 104 V 121 und 107 V 1 der UnzulÃ¤nglichkeiten, die sich aus diesem Ergebnis in EinzelfÃ¤llen - insbesondere wie vorliegend bei Nichtbeitritt zur freiwilligen Versicherung - ergeben kÃ¶nnen, bewusst war (BGE 126 V 217).</w:t>
      </w:r>
    </w:p>
    <w:p>
      <w:r>
        <w:rPr>
          <w:b/>
        </w:rPr>
        <w:t>E. 3</w:t>
      </w:r>
    </w:p>
    <w:p>
      <w:r>
        <w:t>Zustellung gegen Empfangsschein an:</w:t>
      </w:r>
    </w:p>
    <w:p>
      <w:r>
        <w:t>- S.___</w:t>
      </w:r>
    </w:p>
    <w:p>
      <w:r>
        <w:t>- Ausgleichskasse ZÃ¼rcher Arbeitgeber</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