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AB.2004.00007 vom 27. Juli 2004</w:t>
      </w:r>
    </w:p>
    <w:p>
      <w:r>
        <w:t>ZH Sozialversicherungsgericht, 2004-07-27, DE</w:t>
      </w:r>
    </w:p>
    <w:p>
      <w:r>
        <w:rPr>
          <w:b/>
        </w:rPr>
        <w:t xml:space="preserve">Quelle: </w:t>
      </w:r>
      <w:r>
        <w:t>https://mcp.opencaselaw.ch/entscheid/zh_sozialversicherungsgericht_AB.2004.00007</w:t>
      </w:r>
    </w:p>
    <w:p>
      <w:r>
        <w:t>FR: ZH_SOZIALVERSICHERUNGSGERICHT AB.2004.00007 du 27 juillet 2004</w:t>
      </w:r>
    </w:p>
    <w:p>
      <w:r>
        <w:t>IT: ZH_SOZIALVERSICHERUNGSGERICHT AB.2004.00007 del 27 luglio 2004</w:t>
      </w:r>
    </w:p>
    <w:p>
      <w:pPr>
        <w:pStyle w:val="Heading2"/>
      </w:pPr>
      <w:r>
        <w:t>Erwägungen</w:t>
      </w:r>
    </w:p>
    <w:p>
      <w:r>
        <w:rPr>
          <w:b/>
        </w:rPr>
        <w:t>E. 2</w:t>
      </w:r>
    </w:p>
    <w:p>
      <w:r>
        <w:t>2.1Â Â Â Â  Der Betrag der ordentlichen Altersrente wird durch zwei Elemente bestimmt: einerseits durch das VerhÃ¤ltnis zwischen der Beitragsdauer der versicherten Person und jener ihres Jahrganges (Rentenskala; vgl. dazu Erw. 2.2) sowie andererseits aufgrund ihres durchschnittlichen Jahreseinkommens (Erw. 2.3). Bei verwitweten BezÃ¼gerinnen von Altersrenten erfolgt noch ein Zuschlag zur Rente (Erw. 2.4). Schliesslich ist beim Zusammentreffen von Witwen- mit einer Altersrente eine Vergleichsrechnung zu machen (Erw. 2.5).</w:t>
      </w:r>
    </w:p>
    <w:p>
      <w:r>
        <w:t>Â Â Â Â Â Â Â Â  FÃ¼r die Rentenberechnung werden Beitragsjahre, Erwerbseinkommen sowie Erziehungs- oder Betreuungsgutschriften der rentenberechtigten Person zwischen dem 1. Januar nach Vollendung des 20. Altersjahres und dem 31. Dezember vor Eintritt des Versicherungsfalles (Rentenalter oder Tod) berÃ¼cksichtigt (Art. 29 bis Abs. 1 des Bundesgesetzes Ã¼ber die Alters- und Hinterlassenenversicherung, AHVG).</w:t>
      </w:r>
    </w:p>
    <w:p>
      <w:r>
        <w:t>2.2Â Â Â Â  Die ordentlichen Renten gelangen als Vollrenten oder Teilrenten zur Ausrichtung, wobei Anspruch auf eine Vollrente besteht, wenn die Beitragsdauer vollstÃ¤ndig ist (Art. 29 Abs. 2 AHVG). Die Beitragsdauer ist nach Art. 29 ter Abs. 1 AHVG vollstÃ¤ndig, wenn eine Person gleich viele Beitragsjahre aufweist wie ihr Jahrgang. GemÃ¤ss Abs. 2 dieser Bestimmung gelten als Beitragsjahre Zeiten, in welchen eine Person BeitrÃ¤ge geleistet hat (lit. a), in welchen der Ehegatte gemÃ¤ss Art. 3 Abs. 3 mindestens den doppelten Mindestbeitrag entrichtet hat (lit. b) oder fÃ¼r die Erziehungs- oder Betreuungsgutschriften angerechnet werden kÃ¶nnen (lit. c).</w:t>
      </w:r>
    </w:p>
    <w:p>
      <w:r>
        <w:rPr>
          <w:b/>
        </w:rPr>
        <w:t>E. 2.3.1</w:t>
      </w:r>
    </w:p>
    <w:p>
      <w:r>
        <w:t>Innerhalb der anwendbaren Rentenskala (Art. 52 der Verordnung Ã¼ber die Alters- und Hinterlassenenversicherung; AHVV) bestimmt sich der Rentenbetrag nach Massgabe des durchschnittlichen Jahreseinkommens. Dieses setzt sich zusammen aus den Erwerbseinkommen, den Erziehungsgutschriften und den Betreuungsgutschriften (Art. 29 quater AHVG). Die Summe der Erwerbseinkommen wird entsprechend dem Rentenindex gemÃ¤ss Artikel 33 ter aufgewertet. Der Bundesrat lÃ¤sst die Aufwertungsfaktoren jÃ¤hrlich feststellen (Art. 30 Abs. 1 AHVG). Die Summe der aufgewerteten Erwerbseinkommen sowie die Erziehungs- oder Betreuungsgutschriften werden durch die Anzahl der Beitragsjahre geteilt (Art. 30 Abs. 2 AHVG).</w:t>
      </w:r>
    </w:p>
    <w:p>
      <w:r>
        <w:t>2.3.2Â Â  Was begrifflich unter Erwerbseinkommen im Sinne von Art. 29 quater AHVG zu verstehen ist, wird in Art. 29 quinquies Abs. 1 und 2 AHVG nÃ¤her umschrieben. Daneben enthÃ¤lt diese Bestimmung eine besondere Bemessungsregel. Nach Art. 29 quinquies Abs. 3 Satz 1 AHVG werden Einkommen, welche die Ehegatten wÃ¤hrend der Kalenderjahre der gemeinsamen Ehe erzielt haben, geteilt und je zur HÃ¤lfte den beiden Ehegatten angerechnet ("Splitting"). Die Einkommensteilung wird unter anderem vorgenommen, wenn eine verwitwete Person Anspruch auf eine Altersrente hat (Art. 29 quinquies Abs. 3 lit. b AHVG). Der Teilung und der gegenseitigen Anrechnung unterliegen laut Art. 29 quinquies Abs. 4 lit. a und b AHVG jedoch nur Einkommen aus der Zeit zwischen dem 1. Januar nach Vollendung des 20. Altersjahres und dem 31. Dezember vor Eintritt des Versicherungsfalles beim Ehegatten, welcher zuerst rentenberechtigt wird, und aus Zeiten, in denen beide Ehegatten in der schweizerischen Alters- und Hinterlassenenversicherung versichert gewesen sind, wobei Art. 29 bis Abs. 2 AHVG vorbehalten bleibt.</w:t>
      </w:r>
    </w:p>
    <w:p>
      <w:r>
        <w:rPr>
          <w:b/>
        </w:rPr>
        <w:t>E. 2.4</w:t>
      </w:r>
    </w:p>
    <w:p>
      <w:r>
        <w:t>Verwitwete BezÃ¼gerinnen und BezÃ¼ger von Altersrenten haben Anspruch auf einen Zuschlag von 20 Prozent zu ihrer Rente. Rente und Zuschlag dÃ¼rfen den HÃ¶chstbetrag der Altersrente nicht Ã¼bersteigen (Art. 35 bis AHVG).</w:t>
      </w:r>
    </w:p>
    <w:p>
      <w:r>
        <w:t>Â Â Â Â Â Â Â Â  Randziffer (Rz) 5616 der Wegleitung des Bundesamtes fÃ¼r Sozialversicherung (BSV) Ã¼ber die Renten in der Alters-, Hinterlassenen- und Invalidenversicherung vom 1. Januar 2003 (RWL) hÃ¤lt dazu fest, dass Rente und Verwitwetenzuschlag den Betrag der Maximalrente der entsprechenden Rentenskala nicht Ã¼bersteigen dÃ¼rfen.</w:t>
      </w:r>
    </w:p>
    <w:p>
      <w:r>
        <w:t>2.5Â Â Â Â  ErfÃ¼llt eine Person gleichzeitig die Voraussetzungen fÃ¼r eine Witwen- oder Witwerrente und fÃ¼r eine Altersrente, so wird nur die hÃ¶here Rente ausbezahlt (Art. 24b AHVG).</w:t>
      </w:r>
    </w:p>
    <w:p>
      <w:r>
        <w:rPr>
          <w:b/>
        </w:rPr>
        <w:t>E. 3</w:t>
      </w:r>
    </w:p>
    <w:p>
      <w:r>
        <w:t>3.1Â Â Â Â  Die BeschwerdefÃ¼hrerin bestreitet vor allem das Vorgehen der Kasse beim Verwitwetenzuschlag (dazu Erw. 4) und die Vergleichsrechnung mit der Witwenrente (Erw. 5), wÃ¤hrend die Festsetzung der Altersrente mit Ausnahme der zeitlichen Bemessung des Splittings (Erw. 3.2) unbestritten ist (Urk. 1).</w:t>
      </w:r>
    </w:p>
    <w:p>
      <w:r>
        <w:t>Â Â Â Â Â Â Â Â  Hinsichtlich der Berechnung der Altersrente im Einzelnen legte die Kasse im Einspracheentscheid (Urk. 2 S. 2 f.) und in der Vernehmlassung (Urk. 6 Ziff. 3a-c), auf welche verwiesen wird, ausfÃ¼hrlich dar, wie sie die Rentenskala 36, ein durchschnittliches Jahreseinkommen von Fr. 67'098.- sowie gestÃ¼tzt darauf eine Altersrente von monatlich Fr. 1'630.- ermittelte. Dieses mit Ausnahme der zeitlichen Bemessung des Splittings unbestrittene Vorgehen der Kasse entspricht der Rechts- und Aktenlage und ist daher grundsÃ¤tzlich zu bestÃ¤tigen.</w:t>
      </w:r>
    </w:p>
    <w:p>
      <w:r>
        <w:t>3.2Â Â Â Â  Beim Einkommenssplitting hat die Kasse die Jahre 1970 bis 1991 berÃ¼cksichtigt (Berechnungsblatt vom 5. Oktober 2003, Urk. 7/5). Dagegen wendet die BeschwerdefÃ¼hrerin ein, da der verstorbene Ehegatte am ___ Dezember 1992 das 65. Altersjahr erreicht habe und ihm deshalb ab 1. Januar 1993 eine Altersrente ausgerichtet worden sei, sei der Versicherungsfall im Jahre 1993 eingetreten. Daher wÃ¼rde auch das Jahr 1992 dem Splitting unterliegen (Urk. 10). Dieser Auffassung kann nicht gefolgt werden:</w:t>
      </w:r>
    </w:p>
    <w:p>
      <w:r>
        <w:t>Â Â Â Â Â Â Â Â  Der Versicherungsfall tritt nach Art. 29 bis Abs. 1 AHVG unter anderem beim Erreichen des Rentenalters ein. Der verstorbene Ehegatte hat das Rentenalter unbestrittenermassen am ___ Dezember 1992 erreicht. Der Versicherungsfall, welcher dem Beginn des Rentenanspruchs nicht gleichgesetzt werden kann, trat somit am ___ Dezember 1992 ein. Somit unterliegen nur die Einkommen bis und mit dem Jahre 1991 dem Einkommenssplitting (Erw. 2.3.2).</w:t>
      </w:r>
    </w:p>
    <w:p>
      <w:r>
        <w:rPr>
          <w:b/>
        </w:rPr>
        <w:t>E. 4</w:t>
      </w:r>
    </w:p>
    <w:p>
      <w:r>
        <w:t>4.1Â Â Â Â  Mit dem Verwitwetenzuschlag erhÃ¶ht sich die Altersrente von Fr. 1'630.- auf Fr. 1'726.- (gemÃ¤ss Rententabellen des BSV, gÃ¼ltig ab 1. Januar 2003, S. 34). Da dies der maximalen Altersrente der Rentenskala 36 entspricht, wird der Zuschlag somit durch diesen Rentenbetrag begrenzt. Dagegen wehrt sich die BeschwerdefÃ¼hrerin, indem sie geltend macht, in Abweichung von Rz 5616 RWL werde der Zuschlag auch bei Teilrenten einzig durch die maximale Altersrente der Rentenskala 44 begrenzt.</w:t>
      </w:r>
    </w:p>
    <w:p>
      <w:r>
        <w:t>Â Â Â Â Â Â Â Â  Zur BegrÃ¼ndung bringt sie vor, mit der klaren Umschreibung "HÃ¶chstbetrag der Altersrente" in Art. 35 bis AHVG kÃ¶nne nur die Rentenskala 44 gemeint sei. Der Begriff "HÃ¶chstbetrag" bedeute im Gegensatz zum Begriff Maximalbetrag allemal den Ã¼berhaupt maximal erreichbaren Rentenbetrag. Nur mit einer solchen Gesetzesauslegung werde der Wille des Gesetzgebers, nÃ¤mlich splittingsbedingte Nachteile auszugleichen, zutreffend umgesetzt. Auch bei Art. 35 AHVG, welcher die genau gleiche Formulierung wie Art. 35 bis AHVG verwende, werde in der Literatur immer von einer Plafonierung durch die Vollrente ausgegangen, und auch aus Rz 5508 RWL, welche Art. 35 AHVG konkretisiere, sei nichts anderes ersichtlich (Urk. 1 und Urk. 10).</w:t>
      </w:r>
    </w:p>
    <w:p>
      <w:r>
        <w:t>4.2Â Â Â Â  Das Gesetz ist in erster Linie nach seinem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d.h. eindeutigen und unmissverstÃ¤ndlichen Wortlaut darf nur ausnahmsweise abgewichen werden, u.a.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 (BGE 129 II 118 Erw. 3.1, 129 V 103 Erw. 3.2, je mit Hinweisen).</w:t>
      </w:r>
    </w:p>
    <w:p>
      <w:r>
        <w:t>Â Â Â Â Â Â Â Â  Verwaltungsweisungen sind fÃ¼r das Sozialversicherungsgericht nicht verbindlich. Es soll sie bei seiner Entscheidung mitberÃ¼cksichtigen, sofern sie eine dem Einzelfall angepasste und gerecht werdende Auslegung der anwendbaren gesetzlichen Bestimmungen zulassen. Es weicht anderseits insoweit von Weisungen ab, als sie mit den anwendbaren gesetzlichen Bestimmungen nicht vereinbar sind (BGE 129 V 205 Erw. 3.2, 127 V 61 Erw. 3a, 126 V 68 Erw. 4b, 427 Erw. 5a, je mit Hinweisen).</w:t>
      </w:r>
    </w:p>
    <w:p>
      <w:r>
        <w:t>4.3Â Â Â Â  Die Frage, ob sich die Umschreibung "HÃ¶chstbetrag der Altersrente" immer auf Vollrenten bezieht, kann offen bleiben. Denn Art. 35 bis AHVG wie auch Art. 35 AHVG befinden sich unter dem Ãbertitel "II. Die Vollrenten". Bereits diese Systematik erklÃ¤rt jedoch hinreichend, dass sich Art. 35 bis AHVG auf Vollrenten bezieht. Wie der Verwitwetenzuschlag bei Teilrenten zu begrenzen ist, lÃ¤sst sich daher Art. 35 bis AHVG nicht unmittelbar entnehmen, und auch Art. 38 AHVG nicht, welcher sich auf die Teilrenten bezieht.</w:t>
      </w:r>
    </w:p>
    <w:p>
      <w:r>
        <w:t>Â Â Â Â Â Â Â Â  Bei der Beantwortung der Auslegungsfrage ist insbesondere zu berÃ¼cksichtigen, dass die Altersrenten in erster Linie auf der Grundlage des Skalensystems (Art. 34 ff. AHVG und Art. 52 AHVV) festgelegt werden, wobei der Bundesrat fÃ¼r die Ermittlung der Renten verbindliche Tabellen aufstellt (Art. 30 bis Satz 1 AHVG). DemgegenÃ¼ber ist der Verwitwetenzuschlag und dessen Begrenzung nach Art. 35 bis AHVG ein Rechenvorgang, der erst nachtrÃ¤glich hinzukommt. Es ist daher vom Grundsatz auszugehen, dass mit diesem Zuschlag das zugrundeliegende Skalensystem und dessen Proportionen, abgesehen von den zuschlagsbedingten Auswirkungen, grundsÃ¤tzlich nicht verÃ¤ndert werden sollen. Daraus ergibt sich jedoch ohne weiteres, dass der Verwitwetenzuschlag bei Teilrenten analog Art. 35 bis AHVG jeweils durch die maximale Altersrente der jeweiligen Rentenskala zu begrenzen ist. Entgegen der nicht nÃ¤her begrÃ¼ndeten Auffassung der BeschwerdefÃ¼hrerin ist dieses Vorgehen geeignet, allfÃ¤llige splittingbedingte Nachteile aufzufangen (vgl. dazu Amtl. Bull. 1994 S 552 f.). DemgegenÃ¼ber wÃ¼rde der Vorschlag der BeschwerdefÃ¼hrerin dazu fÃ¼hren, dass der Verwitwetenzuschlag nur bei den oberen Rentenskalen begrenzt wÃ¼rde und dass bei Teilrenten die Altersrenten durch den Zuschlag Ã¼ber der maximalen Altersrente der jeweiligen Rentenskala liegen kÃ¶nnten. Mit diesem Vorgehen wÃ¼rde das Skalensystem einseitig verzerrt und durchbrochen. Abgesehen davon, dass ein solches Vorgehen schon aus GrÃ¼nden der Rechtsgleichheit kaum haltbar wÃ¤re, wÃ¼rde dies eine ausdrÃ¼ckliche gesetzliche Grundlage bedingen. Eine solche liegt jedoch nicht vor. Im Weiteren wird auch bei Art. 35 AHVG bei der Festlegung des HÃ¶chstbetrages dem Umstand, ob Voll- oder Teilrenten vorliegen, Rechnung getragen (Rz 5520 ff. RWL). Auch diesbezÃ¼glich kann die BeschwerdefÃ¼hrerin daher nichts zu ihren Gunsten ableiten.</w:t>
      </w:r>
    </w:p>
    <w:p>
      <w:r>
        <w:t>Â Â Â Â Â Â Â Â</w:t>
      </w:r>
    </w:p>
    <w:p>
      <w:r>
        <w:t>5.Â Â Â Â Â Â  Was die Vergleichsrechnung mit der Witwenrente betrifft (Erw. 2.5), ist die ermittelte Altersrente von Fr. 1'726.- hÃ¶her als die der BeschwerdefÃ¼hrerin ab 1. Mai 1999 zugesprochene Witwenrente von Fr. 1'608.- (VerfÃ¼gung vom 5. Mai 1999, Urk. 7/20), welche umgerechnet auf das Jahr 2003 unbestrittenermassen Fr. 1'688.- betrÃ¤gt (Schreiben der Kasse an die BeschwerdefÃ¼hrerin vom Januar 2004, Urk. 7/37). Dementsprechend sprach die Kasse der BeschwerdefÃ¼hrerin mit der angefochtenen VerfÃ¼gung eine Altersrente von Fr. 1'726.- zu. Dieses Vorgehen der Kasse bestreitet die BeschwerdefÃ¼hrerin im Wesentlichen insoweit, als sie geltend macht, aus Ã¼bergangsrechtlichen GrÃ¼nden hÃ¤tte die Witwenrente aufgrund des frÃ¼heren, bis Ende 1996 gÃ¼ltig gewesenen Rechts festgesetzt werden mÃ¼ssen, was bei der Festsetzung der angefochtenen Altersrente zu berÃ¼cksichtigen sei und zur maximalen Altersrente im Rahmen der Rentenskala 44 fÃ¼hre.</w:t>
      </w:r>
    </w:p>
    <w:p>
      <w:r>
        <w:t>Â Â Â Â Â Â Â Â  Die Argumentation der BeschwerdefÃ¼hrerin im Einzelnen beruht auf einer VerknÃ¼pfung von hypothetischen und grundsÃ¤tzlichen Annahmen (Urk. 1 S. 3 f.), welche jedoch in den gesetzlichen Bestimmungen keinen entsprechenden Niederschlag gefunden haben. Wie bereits die Kasse in ihrer Vernehmlassung zutreffend ausfÃ¼hrte, war die Witwenrente nach lit. c Abs. 1 der Schlussbestimmungen der Ãnderung des AHVG vom 7. Oktober 1994 aufgrund der neuen, ab 1. Januar 1997 gÃ¼ltigen Bestimmungen zur ermitteln. Im Weiteren ist lit. c Abs. 10 dieser Schlussbestimmungen, wonach die neuen massgebenden Einkommen nicht zu tieferen Leistungen fÃ¼hren dÃ¼rfen, vorliegend nicht tangiert, zumal der BeschwerdefÃ¼hrerin vor dem 1. Januar 1997 keine vergleichbaren Leistungen zugesprochen worden waren.</w:t>
      </w:r>
    </w:p>
    <w:p>
      <w:r>
        <w:t>6.Â Â Â Â Â Â  Diese ErwÃ¤gungen fÃ¼hren zur Abweisung der Beschwerde.</w:t>
      </w:r>
    </w:p>
    <w:p>
      <w:r>
        <w:t>Das Gericht erkennt:</w:t>
      </w:r>
    </w:p>
    <w:p>
      <w:r>
        <w:t>1.Â Â Â Â Â Â Â Â  Die Beschwerde wird abgewiesen.</w:t>
      </w:r>
    </w:p>
    <w:p>
      <w:r>
        <w:t>2.Â Â Â Â Â Â Â Â  Das Verfahren ist kostenlos.</w:t>
      </w:r>
    </w:p>
    <w:p>
      <w:r>
        <w:t>3. Zustellung gegen Empfangsschein an:</w:t>
      </w:r>
    </w:p>
    <w:p>
      <w:r>
        <w:t>- Rechtsanwalt Dr. Ueli Kieser</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