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AB.2002.00591 vom 27. April 2004</w:t>
      </w:r>
    </w:p>
    <w:p>
      <w:r>
        <w:t>ZH Sozialversicherungsgericht, 2004-04-27, DE</w:t>
      </w:r>
    </w:p>
    <w:p>
      <w:r>
        <w:rPr>
          <w:b/>
        </w:rPr>
        <w:t xml:space="preserve">Quelle: </w:t>
      </w:r>
      <w:r>
        <w:t>https://mcp.opencaselaw.ch/entscheid/zh_sozialversicherungsgericht_AB.2002.00591</w:t>
      </w:r>
    </w:p>
    <w:p>
      <w:r>
        <w:t>FR: ZH_SOZIALVERSICHERUNGSGERICHT AB.2002.00591 du 27 avril 2004</w:t>
      </w:r>
    </w:p>
    <w:p>
      <w:r>
        <w:t>IT: ZH_SOZIALVERSICHERUNGSGERICHT AB.2002.00591 del 27 aprile 2004</w:t>
      </w:r>
    </w:p>
    <w:p>
      <w:pPr>
        <w:pStyle w:val="Heading2"/>
      </w:pPr>
      <w:r>
        <w:t>Erwägungen</w:t>
      </w:r>
    </w:p>
    <w:p>
      <w:r>
        <w:rPr>
          <w:b/>
        </w:rPr>
        <w:t>E. 2</w:t>
      </w:r>
    </w:p>
    <w:p>
      <w:r>
        <w:t>2.1Â Â Â Â  Die Beschwerdegegnerin fÃ¼hrte vernehmlassungsweise aus, dass die am 1. Januar 1997 in Kraft getretene 10. AHV-Revision auch auf die Berechnung laufender Renten von Personen, deren Ehegatte nach dem 31. Dezember 1996 Anspruch auf eine Altersrente erwirbt, anzuwenden sei. Bei unvollstÃ¤ndiger Beitragsdauer seien lediglich Teil- und keine Vollrenten auszurichten. Das Splitting sei korrekt durchgefÃ¼hrt und die Einkommen, namentlich die Erziehungsgutschriften, seien auch richtig berechnet worden. In Bezug auf die Rente des BeschwerdefÃ¼hrers sei die Rentenskala 44 und bezÃ¼glich der Rente der BeschwerdefÃ¼hrerin die Rentenskala 41 zu berÃ¼cksichtigen, und angesichts der resultierenden RentenhÃ¶he seien die Einzelrenten der Ehegatten zu plafonieren. Wegen der unvollstÃ¤ndigen Beitragsdauer der BeschwerdefÃ¼hrerin und der deswegen unterschiedlichen Rentenskala der BeschwerdefÃ¼hrenden betrage die Plafonierungsgrenze Fr. 3'020.--. Die beiden Einzelrenten seien richtig plafoniert worden, so dass sich die verfÃ¼gten Rentenbetreffnisse als zutreffend erweisen.</w:t>
      </w:r>
    </w:p>
    <w:p>
      <w:r>
        <w:t>Â Â Â Â Â Â Â Â Â  Insoweit mit der Beschwerde Kritik an den im Konkreten korrekt angewendeten gesetzlichen Bestimmungen geÃ¼bt werde, sei zu unterstreichen, dass die Kasse wie auch die Gerichte daran gebunden seien, weshalb auf die entsprechenden Begehren nicht eingetreten werden kÃ¶nne (Urk. 6).</w:t>
      </w:r>
    </w:p>
    <w:p>
      <w:r>
        <w:t>2.2Â Â Â Â  Die BeschwerdefÃ¼hrenden machten beschwerdeweise geltend, zu Unrecht sei ihre ÂEhepaar-RenteÂ nicht auf das vor dem In-Kraft-Treten der 10. AHV-Revision von ihnen problemlos erreichte Rentenmaximum von Fr. 3'090.--, sondern nur auf Fr. 3'020.-- festgesetzt worden. Dabei sei namentlich die Rente der Ehefrau zu tief. Diese werde durch das Splitting, das mit der 10. AHV-Revision zum Wohle der Frau eingefÃ¼hrt worden sei, gegenÃ¼ber dem alten Recht diskriminiert. Die Acor-BerechnungsblÃ¤tter seien fÃ¼r die Versicherten kaum verstÃ¤ndlich und im Konkreten auch nicht vollstÃ¤ndig (Urk. 1).</w:t>
      </w:r>
    </w:p>
    <w:p>
      <w:r>
        <w:t>Â Â Â Â Â Â Â Â Â  Sie beanstandeten zudem im Wesentlichen, die Aufrechnung der Einkommen nach statt vor dem Splitting fÃ¼hre wegen des meist kleineren Aufwertungsfaktors zu einer Benachteilung der Frau. Bei der BeschwerdefÃ¼hrerin sei zudem die Beitragsdauer um Â¾ Jahre abgerundet worden, was aus mathematischer Sicht wohl ein bÃ¶ser Scherz sei und lediglich das Sparen auf Kosten der Rentenberechtigten zum Ziel habe. Weiter beriefen sie sich auf die Besitzstandswahrung der Ehefrau sowie auf deren Diskriminierung als ehemalige AuslÃ¤nderin, da sie als 20-JÃ¤hrige noch gar nicht in der Schweiz gewesen sei und nicht hier gearbeitet habe. Wegen ihrer fehlenden Beitragszeit werde auch die Rente des Schweizer Ehemanns um Fr. 70.-- gekÃ¼rzt. Obwohl der Ehemann wÃ¤hrend 20 weiteren, nicht in seine Rentenberechnung eingeflossenen Monaten BeitrÃ¤ge geleistet habe, seien diese Monate nicht der Ehefrau zugeschlagen worden. Deswegen erreiche diese bloss die Rentenskala 41, weshalb fÃ¼r das Ehepaar nicht die Rentenskala 44 resultiere (Urk. 1).</w:t>
      </w:r>
    </w:p>
    <w:p>
      <w:r>
        <w:t>Â Â Â Â Â Â Â Â Â  Replicando prÃ¤zisierten die BeschwerdefÃ¼hrenden, dass sie nie bezweifelt hÃ¤tten, dass ihre Renten buchstabengetreu berechnet worden seien. Sie seien jedoch erbost darÃ¼ber, dass sie als Ehepaar zu Gunsten der sozial SchwÃ¤cheren eine weit Ã¼berdurchschnittliche Beitragssumme einbezahlt, Kinder vorbildlich gross gezogen und damit dem Staat hohe Folgekosten erspart hÃ¤tten und nun durch die 10. AHV-Revision und durch Berechnungstricks abgestraft wÃ¼rden (Urk. 11).</w:t>
      </w:r>
    </w:p>
    <w:p>
      <w:r>
        <w:t>2.3Â Â Â Â  Zu prÃ¼fen sind somit die Betreffnisse der den BeschwerdefÃ¼hrenden zugesprochenen Altersrenten, wobei insbesondere die Frage des Rentenmaximums, die Aufrechnung der Einkommen der Ehefrau und deren Beitragsdauer strittig sind.</w:t>
      </w:r>
    </w:p>
    <w:p>
      <w:r>
        <w:rPr>
          <w:b/>
        </w:rPr>
        <w:t>E. 2.1</w:t>
      </w:r>
    </w:p>
    <w:p>
      <w:r>
        <w:t>Hiegegen erhoben X.__ und Y.___ mit Eingabe vom 16. Dezember 2002 Beschwerde und ersuchten im Wesentlichen um ÃberprÃ¼fung der Rentenbetreffnisse. Weiter beantragten sie, die beanstandeten Punkte seien nicht nur ihnen, sondern bei allen RentenbezÃ¼gern wie auch bei der nÃ¤chsten Gesetzes- oder Verordnungsrevision zu berÃ¼cksichtigen. Schliesslich seien die Acor-BlÃ¤tter in Zukunft kundenfreundlicher zu gestalten und vollstÃ¤ndig auszudrucken (Urk. 1 S. 3 unten).</w:t>
      </w:r>
    </w:p>
    <w:p>
      <w:r>
        <w:t>Â Â Â Â Â Â Â Â Â  Die Ausgleichskasse schloss in der Vernehmlassung vom 10. Februar 2003 unter ausfÃ¼hrlicher BegrÃ¼ndung ihres Entscheids auf Abweisung der Beschwerde, soweit darauf eingetreten werden kÃ¶nne (Urk. 6).</w:t>
      </w:r>
    </w:p>
    <w:p>
      <w:r>
        <w:t>2.2Â Â Â Â  In der Stellungnahme vom 15. MÃ¤rz 2003 erneuerten die BeschwerdefÃ¼hrenden ihre AntrÃ¤ge unter dem Hinweis, dass bei der Beschwerdeschrift die Seite 4 durch die neu eingereichte Seite zu ersetzen sei (Urk. 10-12). Die Ausgleichskasse liess die angesetzte Frist zur Duplik (Urk. 13-14) unbenutzt verstreichen, worauf mit GerichtsverfÃ¼gung vom 15. Mai 2003 der Schriftenwechsel geschlossen wurde (Urk. 15).</w:t>
      </w:r>
    </w:p>
    <w:p>
      <w:r>
        <w:t>2.3Â Â Â Â  Am 21. April 2004 fÃ¼hrte das Gericht eine Referentenaudienz durch und erlÃ¤uterte den BeschwerdefÃ¼hrenden die Rechts- und Sachlage (Protokoll S. 6). In der Folge erliess es am 27. April 2004 unter Beilage verschiedener Entscheide des EidgenÃ¶ssischen Versicherungsgerichts ein unbegrÃ¼ndetes Urteil (Urk. 18).</w:t>
      </w:r>
    </w:p>
    <w:p>
      <w:r>
        <w:t>Â Â Â Â Â Â Â Â Â  Fristgereicht ersuchten die Ansprecher am 29. Mai 2004 um die BegrÃ¼ndung des Entscheids (Urk. 20). Wegen eines kanzleitechnischen Versehens wurde die BegrÃ¼ndung nicht umgehend verfasst, wie bedauerlicherweise erst vor Kurzem festgestellt wurde. Auf Anfrage seitens des Gerichts hielten die BeschwerdefÃ¼hrenden an ihrem seinerzeit gestellten BegrÃ¼ndungsgesuch fest (Urk. 21-22).</w:t>
      </w:r>
    </w:p>
    <w:p>
      <w:r>
        <w:t>Das Gericht zieht in ErwÃ¤gung:</w:t>
      </w:r>
    </w:p>
    <w:p>
      <w:r>
        <w:t>1.</w:t>
      </w:r>
    </w:p>
    <w:p>
      <w:r>
        <w:t>1.1Â Â Â Â  Die gesetzlichen Bestimmungen betreffend die Rentenberechnungen, insbesondere betreffend die Ãbergangsbestimmung der 10. AHV-Revision (Schlussbestimmungen der 10. AHV-Revision lit. c), betreffend Voll- und Teilrenten beziehungsweise Beitragsdauer (Art. 29 Abs. 1-2 AHVG, Art. 29 ter AHVG, Art. 38 AHVG), betreffend die Erwerbseinkommen, Erziehungs- und Betreuungsgutschriften, Splitting und Aufwertung der Erwerbseinkommen (Art. 29 quater -30 AHVG, Art. 33 ter AHVG), sowie betreffend die Plafonierung der Summe der Renten eines Ehepaares (Art. 35 Abs. 1 AHVG), sind in der Vernehmlassung der Beschwerdegegnerin zutreffend wiedergegeben (Urk. 6).</w:t>
      </w:r>
    </w:p>
    <w:p>
      <w:r>
        <w:t>Â Â Â Â Â Â Â Â Â  Darauf wird mit folgender ErgÃ¤nzung verwiesen.</w:t>
      </w:r>
    </w:p>
    <w:p>
      <w:r>
        <w:t>1.2Â Â Â Â  Nach der Rechtsprechung kann das Gericht Verordnungen des Bundesrates grundsÃ¤tzlich, von hier nicht in Betracht fallenden Ausnahmen abgesehen, auf ihre RechtmÃ¤ssigkeit hin Ã¼berprÃ¼fen. Bei (unselbstÃ¤ndigen) Verordnungen, die sich auf eine gesetzliche Delegation stÃ¼tzen, geht es in erster Linie darum zu beurteilen, ob sie sich im Rahmen der Delegationsnorm halten. Besteht ein sehr weiter Spielraum des Ermessens fÃ¼r die Regelung auf Verordnungsebene, muss sich das Gericht auf die PrÃ¼fung beschrÃ¤nken, ob die umstrittenen Vorschriften offensichtlich aus dem Rahmen der im Gesetz delegierten Kompetenzen fallen oder aus andern GrÃ¼nden verfassungs- oder gesetzwidrig sind (vgl. Art. 190 BV). Die verordnete Regelung verstÃ¶sst gegen das WillkÃ¼rverbot oder das Gebot der rechtsgleichen Behandlung (Art. 9 und Art. 8 Abs. 1 BV), wenn sie sich nicht auf ernsthafte GrÃ¼nde stÃ¼tzen lÃ¤sst, wenn sie sinn- oder zwecklos ist oder wenn sie rechtliche Unterscheidungen trifft, fÃ¼r die sich ein vernÃ¼nftiger Grund nicht finden lÃ¤sst. Gleiches gilt, wenn der Verordnungsgeber es unterlÃ¤sst, Unterscheidungen zu treffen, die richtigerweise hÃ¤tten berÃ¼cksichtigt werden sollen. FÃ¼r die ZweckmÃ¤ssigkeit, namentlich die wirtschaftliche oder politische Sachgerechtigkeit, trÃ¤gt der Bundesrat die Verantwortung (BGE 133 V 569 E. 5.1 S. 571; 131 II 562 E. 3.2 S. 566; vgl. auch BGE 130 V 39 E. 4.3 S. 45).</w:t>
      </w:r>
    </w:p>
    <w:p>
      <w:r>
        <w:rPr>
          <w:b/>
        </w:rPr>
        <w:t>E. 3</w:t>
      </w:r>
    </w:p>
    <w:p>
      <w:r>
        <w:t>Zustellung gegen Empfangsschein an:</w:t>
      </w:r>
    </w:p>
    <w:p>
      <w:r>
        <w:t>- X.___</w:t>
      </w:r>
    </w:p>
    <w:p>
      <w:r>
        <w:t>- Y.___</w:t>
      </w:r>
    </w:p>
    <w:p>
      <w:r>
        <w:t>- Sozialversicherungsanstalt des Kantons ZÃ¼rich, Ausgleichskasse, unter Beilage je einer Kopie von Urk. 20 und Urk. 22</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3.5</w:t>
      </w:r>
    </w:p>
    <w:p>
      <w:r>
        <w:t>Schliesslich bemÃ¤ngelten die BeschwerdefÃ¼hrenden die Plafonierung der Ehegattenrente in dem Sinne, dass ihre Renten nicht bei Fr. 3'020.--, sondern bei der Maximalrente von Fr. 3'090.-- zu plafonieren seien.</w:t>
      </w:r>
    </w:p>
    <w:p>
      <w:r>
        <w:t>Â Â Â Â Â Â Â Â Â  GemÃ¤ss Art. 35 Abs. 1 lit. a AHVG betrÃ¤gt die Summe der beiden Renten eines Ehepaares maximal 150 % des HÃ¶chstbetrages der Altersrente, wenn beide Ehegatten Anspruch auf eine Altersrente haben. Die beiden Renten sind im VerhÃ¤ltnis ihrer Anteile an der Summe der ungekÃ¼rzten Renten zu kÃ¼rzen. Der Bundesrat regelt die Einzelheiten, insbesondere die KÃ¼rzung der beiden Renten bei Versicherten mit unvollstÃ¤ndiger Beitragsdauer (Art. 35 Abs. 1 und Abs. 1 AHVG).</w:t>
      </w:r>
    </w:p>
    <w:p>
      <w:r>
        <w:t>Â Â Â Â Â Â Â Â Â  Aufgrund dieser Delegationsnorm hat der Bundesrat Folgendes bestimmt: Weisen nicht beide Ehegatten eine vollstÃ¤ndige Beitragsdauer auf, so entspricht der HÃ¶chstbetrag der beiden Renten einem Prozentsatz des maximalen Betrages bei Vollrenten. Dieser wird ermittelt, indem die Summe aus dem Prozentanteil der niedrigeren Rentenskala und dem doppelten Prozentanteil der hÃ¶heren Rentenskala (Art. 52 AHVV) durch drei geteilt wird (Art. 53 bis AHVV in Kraft seit 1. Januar 1997). Das EidgenÃ¶ssische Versicherungsgericht hat die Plafonierung der Renten der Ehegatten bei nicht vollstÃ¤ndiger Beitragsdauer nach Art. 53 bis AHVV als gesetzmÃ¤ssig bezeichnet (AHI-Praxis 2001 S. 71 Erw. 3a-b).</w:t>
      </w:r>
    </w:p>
    <w:p>
      <w:r>
        <w:t>Â Â Â Â Â Â Â Â Â  Die BeschwerdefÃ¼hrenden beanstandeten denn zu Recht auch nicht, dass ihre Renten rechnerisch nicht entsprechend diesen Vorschriften plafoniert worden wÃ¤ren. Vielmehr vertraten sie die Auffassung, vor In-Kraft-Treten der 10. AHV-Revision hÃ¤tten sie ohne Weiteres die Maximalrente von Fr. 3'090.-- erreicht. Durch die neuen Gesetzes- und Verordnungsbestimmungen wÃ¼rden sie unrechtmÃ¤ssig diskriminiert und es werde in ihren Besitzstand eingegriffen.</w:t>
      </w:r>
    </w:p>
    <w:p>
      <w:r>
        <w:t>Â Â Â Â Â Â Â Â Â  Mit dieser Kritik Ã¼bersehen die BeschwerdefÃ¼hrenden, dass sich nach den allgemeinen Ã¼bergangsrechtlichen Regeln der Leistungsanspruch aufgrund der bei Verwirklichung des relevanten Sachverhalts geltenden RechtssÃ¤tzen zu beurteilen ist (BGE 125 V 128 Erw. 1 mit Hinweisen). Dementsprechend hat der Gesetzgeber in den Ãbergangsbestimmungen (lit. c Abs. 1) legiferiert und eine Ãnderung der LeistungsansprÃ¼che gegenÃ¼ber den unter dem alten Recht entstandenen RentenansprÃ¼chen in Kauf genommen respektive angeordnet.</w:t>
      </w:r>
    </w:p>
    <w:p>
      <w:r>
        <w:t>Â Â Â Â Â Â Â Â Â  Der Anspruch der BeschwerdefÃ¼hrenden ist unstreitig und ausgewiesenermassen im Jahr 2002 und somit lange nach In-Kraft-Treten der 10. AHV-Revision am 1. Januar 1997 entstanden. Somit bleibt hier von vornherein kein Raum, um frÃ¼her geltendes Recht anzuwenden. Mit einer Gesetzesrevision gehen zweifelsohne AnspruchsÃ¤nderungen gegenÃ¼ber der vormaligen Rechtslage und damit in gewissem Sinne eine rechtsungleiche Behandlung der BezÃ¼ger einher. Doch vermÃ¶gen weder das Rechtsgleichheitsgebot noch der Grundsatz der Besitzstandswahrung die Anwendbarkeit des geltenden Rechts zu verbieten. Die geltenden Bundesgesetze sind fÃ¼r die rechtsanwendenden BehÃ¶rden, mithin die Gerichte, bindend und stets anzuwenden, dies selbst dann, wenn sie sich als verfassungswidrig erweisen sollten. Die Korrektur einer allfÃ¤lligen verfassungswidrigen bundesgesetzlichen Regelung ist nach dem Willen des Verfassungsgebers allein Sache des Gesetzgebers, nicht der Gerichte (Art. 190 der Bundesverfassung).</w:t>
      </w:r>
    </w:p>
    <w:p>
      <w:r>
        <w:t>Â Â Â Â Â Â Â Â Â  Insoweit sich die BeschwerdefÃ¼hrenden zur Geltendmachung ihres Anspruches auf ihre ÂÃ¼berdurchschnittliche BeitragssummeÂ beriefen, die sie zu Gunsten von sozial SchwÃ¤cheren einbezahlt hÃ¤tten (Urk. 11), bleibt schliesslich zu bemerken, dass die Beitragszahlung und der Rentenanspruch nicht zwingend korrelieren, denn die Beitragspflicht besteht unabhÃ¤ngig davon, ob die BeitrÃ¤ge Ã¼berhaupt rentenbildend sind (BGE 118 V 134 unten, 107 V 195).</w:t>
      </w:r>
    </w:p>
    <w:p>
      <w:r>
        <w:rPr>
          <w:b/>
        </w:rPr>
        <w:t>E. 3.6</w:t>
      </w:r>
    </w:p>
    <w:p>
      <w:r>
        <w:t>Insoweit die BeschwerdefÃ¼hrenden verlangten, die Acor-BlÃ¤tter seien inskÃ¼nftig vollstÃ¤ndig ausgedruckt und kundenfreundlich gestaltet werden, ist festzuhalten, dass nicht gesagt werden kann, die Akten in ihrer Angelegenheit seien unvollstÃ¤ndig. Die zugegebenermassen nicht einfach verstÃ¤ndlichen Acor-BlÃ¤tter bilden im Rahmen der Rentenberechnung nur, aber immerhin ein taugliches Hilfsmittel zum Vollzug von Gesetzes- und Verordnungsbestimmungen. Diese allein und nicht die Acor-BlÃ¤tter sind fÃ¼r die Festsetzung der Renten massgeblich, weshalb das Gericht - dem keine aufsichtsrechtlichen Kompetenzen zufallen - keine allgemein gÃ¼ltigen Anweisungen Ã¼ber Gestaltung und Ausdruck von Acor-BlÃ¤ttern zu fassen hat.</w:t>
      </w:r>
    </w:p>
    <w:p>
      <w:r>
        <w:t>3.7Â Â Â Â  Damit hat es mit der Feststellung sein Bewenden, dass im Konkreten die Renten der BeschwerdefÃ¼hrenden richtig berechnet wurden. Dies fÃ¼hrt zur Abweisung der Beschwerde.</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