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AB.2002.00560 vom 19. Januar 2004</w:t>
      </w:r>
    </w:p>
    <w:p>
      <w:r>
        <w:t>ZH Sozialversicherungsgericht, 2004-01-19, DE</w:t>
      </w:r>
    </w:p>
    <w:p>
      <w:r>
        <w:rPr>
          <w:b/>
        </w:rPr>
        <w:t xml:space="preserve">Quelle: </w:t>
      </w:r>
      <w:r>
        <w:t>https://mcp.opencaselaw.ch/entscheid/zh_sozialversicherungsgericht_AB.2002.00560</w:t>
      </w:r>
    </w:p>
    <w:p>
      <w:r>
        <w:t>FR: ZH_SOZIALVERSICHERUNGSGERICHT AB.2002.00560 du 19 janvier 2004</w:t>
      </w:r>
    </w:p>
    <w:p>
      <w:r>
        <w:t>IT: ZH_SOZIALVERSICHERUNGSGERICHT AB.2002.00560 del 19 gennaio 2004</w:t>
      </w:r>
    </w:p>
    <w:p>
      <w:pPr>
        <w:pStyle w:val="Heading2"/>
      </w:pPr>
      <w:r>
        <w:t>Erwägungen</w:t>
      </w:r>
    </w:p>
    <w:p>
      <w:r>
        <w:rPr>
          <w:b/>
        </w:rPr>
        <w:t>E. 2</w:t>
      </w:r>
    </w:p>
    <w:p>
      <w:r>
        <w:t>Hiergegen erhob B.___ mit Zuschrift vom 5. Dezember 2002 Beschwerde mit dem sinngemÃ¤ssen Antrag, die RentenverfÃ¼gung sei auf ihre Korrektheit zu Ã¼berprÃ¼fen (Urk. 1). In der Beschwerdeantwort vom 26. MÃ¤rz 2003 beantragte die Ausgleichskasse die Abweisung der Beschwerde (Urk. 7). Die Versicherte Ã¤usserte sich im Zusammenhang mit einem Fristerstreckungsgesuch vom 23. Mai 2003 auch zur Sache (Urk. 11), machte jedoch von der bis zum 29. August 2003 erstreckten Frist keinen Gebrauch und liess sich nicht mehr vernehmen (Urk. 13). Die Ausgleichskasse ihrerseits verzichtete ausdrÃ¼cklich auf eine Stellungnahme (Urk. 15), so dass das Gericht den Schriftenwechsel mit VerfÃ¼gung vom 22. Oktober 2003 abschloss (Urk. 16).</w:t>
      </w:r>
    </w:p>
    <w:p>
      <w:r>
        <w:t>Auf die Vorbringen der Parteien wird, soweit erforderlich, in 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t>2.1Â Â Â Â  Mit der 10. AHV-Revision wurde das Rentenalter der Frauen von bisher 62 auf 64 Jahre erhÃ¶ht (Art. 21 Abs. 1 lit. b des Bundesgesetzes Ã¼ber die Alters- und Hinterlassenenversicherung; AHVG). GemÃ¤ss lit. c Abs. 1 der Ãbergangsbestimmungen zur 10. AHV-Revision (UeB 10. AHV-Revision) gelten die neuen Bestimmungen fÃ¼r alle Renten, auf die der Anspruch nach dem 31. Dezember 1996 entsteht. Nach lit. d Abs. 1 UeB wurde das Rentenalter der Frauen jedoch stufenweise erhÃ¶ht sowie der Rentenvorbezug eingefÃ¼hrt (vgl. Abs. 2). Demnach wurde das Rentenalter vier Jahre nach Inkrafttreten der 10. AHV-Revision vorerst auf 63 Jahre und erst acht Jahre nach dem Inkrafttreten auf 64 Jahre erhÃ¶ht. Ausserdem wurde der Rentenvorbezug vier Jahre nach Inkrafttreten nach Vollendung des 62. Altersjahres fÃ¼r Frauen eingefÃ¼hrt (Abs. 2 lit. b UeB). Demnach konnte die 1940 geborene Versicherte, die erst im Jahr 2003 ihr 63. Altersjahr vollendet hÃ¤tte, bereits mit dem vollendetem 62. Altersjahr vom Rentenvorbezug Gebrauch machen.</w:t>
      </w:r>
    </w:p>
    <w:p>
      <w:r>
        <w:t>Die Renten von Frauen, die zwischen dem 1. Januar 2001 und dem 31. Dezember 2009 vom Rentenvorbezug Gebrauch machen, werden um die HÃ¤lfte des KÃ¼rzungssatzes gemÃ¤ss Art. 40 Abs. 3 AHVG gekÃ¼rzt (lit. d Abs. 3 UeB). Nach lit. c Abs. 3 der Schlussbestimmungen (SchlB) betrÃ¤gt der KÃ¼rzungssatz pro Vorbezugsjahr 3,4 % der vorbezogenen Rente.</w:t>
      </w:r>
    </w:p>
    <w:p>
      <w:r>
        <w:t>2.2Â Â Â Â  FÃ¼r die Rentenberechnung werden nach Art. 29 bis Abs. 1 AHVG Beitragsjahre, Erwerbseinkommen sowie Erziehungs- oder Betreuungsgutschriften der rentenberechtigten Person zwischen dem 1. Januar nach Vollendung des 20. Altersjahres und dem 31. Dezember vor Eintritt des Rentenalters berÃ¼cksichtigt.</w:t>
      </w:r>
    </w:p>
    <w:p>
      <w:r>
        <w:t>2.3Â Â Â Â  Die Beitragsdauer ist vollstÃ¤ndig, wenn eine Person gleich viele Beitragsjahre aufweist wie ihr Jahrgang (Art. 29 ter Abs. 1 AHVG). Als Beitragsjahre gelten nach Art. 29 ter Abs. 2 AHVG Zeiten, in welchen eine Person BeitrÃ¤ge geleistet hat (lit. a), in welchen der Ehegatte gemÃ¤ss Art. 3 Abs. 3 AHVG mindestens den doppelten Mindestbeitrag entrichtet hat (lit. b), und Zeiten, fÃ¼r die Erziehungs- oder Betreuungsgutschriften angerechnet werden kÃ¶nnen (lit. c). GemÃ¤ss lit. g Abs. 2 UeB gilt fÃ¼r Beitragsjahre vor dem 1. Januar 1997 der bisherige Art. 29 bis Abs. 2 AHVG auch fÃ¼r Renten, die nach dem Inkrafttreten der 10. AHV-Revision festgesetzt werden.</w:t>
      </w:r>
    </w:p>
    <w:p>
      <w:r>
        <w:t>2.4Â Â Â Â  Die Rente wird ausserdem nach Massgabe des durchschnittlichen Jahreseinkommens berechnet. Dieses setzt sich zusammen aus den Erwerbseinkommen, den Erziehungsgutschriften und den Betreuungsgutschriften (Art. 29 quater AHVG).</w:t>
      </w:r>
    </w:p>
    <w:p>
      <w:r>
        <w:t>Â Â Â Â Â Â Â Â  Nicht angerechnet werden Erwerbseinkommen fÃ¼r die eine Person keine BeitrÃ¤ge mehr schuldet, weil sie verjÃ¤hrt sind (Art. 16 Abs. 1 und 2 AHVG), insbesondere auch gemÃ¤ss Art. 34c der Verordnung Ã¼ber die Alters- und Hinterlassenenversicherung [AHVV] als uneinbringlich abgeschrieben wurden und verjÃ¤hrt sind (Rz 5144 der ab 1. Januar 1997 bis 31. Dezember 2002 gÃ¼ltig gewesenen hier anwendbaren Wegleitung des Bundesamtes fÃ¼r Sozialversicherung [BSV] Ã¼ber die Renten in der EidgenÃ¶ssischen Alters-, Hinterlassenen- und Invalidenversicherung [RWL]).</w:t>
      </w:r>
    </w:p>
    <w:p>
      <w:r>
        <w:t>2.5Â Â Â Â  Nach Art. 29 quinquies Abs. 3 AHVG werden Einkommen, welche die Ehegatten wÃ¤hrend der Kalenderjahre der gemeinsamen Ehe erzielt haben, geteilt und je zur HÃ¤lfte den beiden Ehegatten angerechnet. Ein Splitting wird vorgenommen, wenn beide Ehegatten rentenberechtigt sind (lit. a).</w:t>
      </w:r>
    </w:p>
    <w:p>
      <w:r>
        <w:t>Der Teilung unterliegen jedoch nur Einkommen aus der Zeit zwischen dem 1. Januar nach Vollendung des 20. Altersjahres und dem 31. Dezember vor Eintritt des Versicherungsfalles beim Ehegatten, welcher zuerst rentenberechtigt wird (Art. 29 quinquies Abs. 4 AHVG). Die Einkommen im Jahr der Eheschliessung und im Jahr der AuflÃ¶sung der Ehe werden nicht geteilt (Art. 50b Abs. 3 AHVV). Die Einkommensteilung wird sowohl fÃ¼r jedes einzelne individuelle Konto (IK) bei einer Ausgleichskasse als auch fÃ¼r jedes einzelne Kalenderjahr gesondert vorgenommen (Rz 5114 RWL). Ergibt die Einkommensteilung in einem Kalenderjahr halbe FrankenbetrÃ¤ge, so ist auf den nÃ¤chsten ganzen Franken aufzurunden (Rz 5115 RWL).</w:t>
      </w:r>
    </w:p>
    <w:p>
      <w:r>
        <w:t>2.6Â Â Â Â  Die Summe der Erwerbseinkommen wird entsprechend dem Rentenindex gemÃ¤ss Art. 33 ter AHVG aufgewertet (Art. 30 Abs. 1 AHVG). Das Bundesamt legt die Faktoren fÃ¼r die Aufwertung der Summe der Erwerbseinkommen nach Art. 30 Abs. 1 AHVG jÃ¤hrlich fest (Art. 51 bis Abs. 1 AHVV). Der Aufwertungsfaktor wird nach dem Kalenderjahr bestimmt, in welchem der erste Eintrag in das individuelle Konto vorgenommen wurde (Rz 5201 RWL). Die Summe der aufgewerteten Erwerbseinkommen sowie die Erziehungs- oder Betreuungsgutschriften werden durch die Anzahl der Beitragsjahre geteilt (Art. 30 Abs. 2 AHVG).</w:t>
      </w:r>
    </w:p>
    <w:p>
      <w:r>
        <w:rPr>
          <w:b/>
        </w:rPr>
        <w:t>E. 3</w:t>
      </w:r>
    </w:p>
    <w:p>
      <w:r>
        <w:t>Zustellung gegen Empfangsschein an:</w:t>
      </w:r>
    </w:p>
    <w:p>
      <w:r>
        <w:t>- B.___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