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AB.2002.00408 vom 20. November 2003</w:t>
      </w:r>
    </w:p>
    <w:p>
      <w:r>
        <w:t>ZH Sozialversicherungsgericht, 2003-11-20, DE</w:t>
      </w:r>
    </w:p>
    <w:p>
      <w:r>
        <w:rPr>
          <w:b/>
        </w:rPr>
        <w:t xml:space="preserve">Quelle: </w:t>
      </w:r>
      <w:r>
        <w:t>https://mcp.opencaselaw.ch/entscheid/zh_sozialversicherungsgericht_AB.2002.00408</w:t>
      </w:r>
    </w:p>
    <w:p>
      <w:r>
        <w:t>FR: ZH_SOZIALVERSICHERUNGSGERICHT AB.2002.00408 du 20 novembre 2003</w:t>
      </w:r>
    </w:p>
    <w:p>
      <w:r>
        <w:t>IT: ZH_SOZIALVERSICHERUNGSGERICHT AB.2002.00408 del 20 novembre 2003</w:t>
      </w:r>
    </w:p>
    <w:p>
      <w:pPr>
        <w:pStyle w:val="Heading2"/>
      </w:pPr>
      <w:r>
        <w:t>Erwägungen</w:t>
      </w:r>
    </w:p>
    <w:p>
      <w:r>
        <w:rPr>
          <w:b/>
        </w:rPr>
        <w:t>E. 1</w:t>
      </w:r>
    </w:p>
    <w:p>
      <w:r>
        <w:t>1.1Â Â Â Â  Am 1. Januar 2003 ist das Bundesgesetz Ã¼ber den Allgemeinen Teil des Sozialversicherungsrechts (ATSG) vom 6. Oktober 2000 in Kraft getreten. Mit ihm sind zahlreiche Bestimmungen im Sozialversicherungsbereich geÃ¤ndert worden. Weil in zeitlicher Hinsicht grundsÃ¤tzlich diejenigen RechtssÃ¤tze massgebend sind, die bei der ErfÃ¼llung des zu Rechtsfolgen fÃ¼hrenden Tatbestandes Geltung haben (BGE 127 V 467 Erw. 1), und weil ferner das Sozialversicherungsgericht bei der Beurteilung eines Falles grundsÃ¤tzlich auf den bis zum Zeitpunkt des Erlasses der streitigen VerfÃ¼gung beziehungsweise des streitigen Einspracheentscheids eingetretenen Sachverhalt abstellt (BGE 121 V 366 Erw. 1b), sind im vorliegenden Fall die neuen Bestimmungen nicht anwendbar.</w:t>
      </w:r>
    </w:p>
    <w:p>
      <w:r>
        <w:t>1.2Â Â Â Â  Nach Art. 23 Abs. 1 der Verordnung Ã¼ber die Alters- und Hinterlassenenver-sicherung (AHVV, in der hier anwendbaren, bis 31. Dezember 2000 gÃ¼ltig gewesenen Fassung)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t>Â Â Â Â Â Â Â Â  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des Einkommens bzw. EinkommensbezÃ¼gers und beschlÃ¤gt daher die Frage nicht, ob Ã¼berhaupt Erwerbseinkommen und gegebenenfalls solches aus selbstÃ¤ndiger oder aus unselbstÃ¤ndiger TÃ¤tigkeit vorliegt und ob der EinkommensbezÃ¼ger beitragspflichtig ist. Somit haben die Ausgleichskassen ohne Bindung an die Steuermeldung aufgrund des AHV-Rechts zu beurteilen, wer fÃ¼r ein von der SteuerbehÃ¶rde gemeldetes Einkommen beitragspflichtig ist (BGE 121 V 83 Erw. 2c, 114 V 75 Erw. 2, 110 V 86 Erw. 4 und 370 Erw. 2a, 102 V 30 Erw. 3b mit Hinweisen).</w:t>
      </w:r>
    </w:p>
    <w:p>
      <w:r>
        <w:t>1.3Â Â Â Â  Richtet eine Aktiengesellschaft Leistungen an Arbeitnehmer aus, die gleichzeitig Inhaber gesellschaftlicher Beteiligungsrechte sind, erhebt sich bei der Festsetzung sowohl der direkten Bundessteuer als auch der SozialversicherungsbeitrÃ¤ge die Frage, ob und inwieweit es sich um Arbeitsentgelt (massgebenden Lohn) oder aber um verdeckte GewinnausschÃ¼ttung (Kapitalertrag) handelt. Letztere unterliegt der direkten Bundessteuer im Sinne von Art. 20 Abs. 1 lit. c des Gesetzes Ã¼ber die direkte Bundessteuer (DBG) ihren Grund in der AktionÃ¤rseigenschaft des EmpfÃ¤ngers hat. Nach der Rechtsprechung gehÃ¶ren VergÃ¼tungen, die als reiner Kapitalertrag zu betrachten sind, nicht zum massgebenden Lohn. Ob dies zutrifft, ist nach Wesen und Funktion einer Zuwendung zu beurteilen. Deren rechtliche oder wirtschaftliche Bezeichnung ist nicht entscheidend und hÃ¶chstens als Indiz zu werten. Unter UmstÃ¤nden kÃ¶nnen auch Zuwendungen aus dem Reingewinn einer Aktiengesellschaft massgebender Lohn sein; dies gilt laut Art. 7 lit. h AHVV namentlich fÃ¼r Tantiemen. Es handelt sich dabei um VergÃ¼tungen, die im ArbeitsverhÃ¤ltnis ihren hinreichenden Grund haben. Zuwendungen, die nicht durch das ArbeitsverhÃ¤ltnis gerechtfertigt werden, gehÃ¶ren nicht zum massgebenden Lohn. Solche GewinnausschÃ¼ttungen werden als geldwerte Leistungen bezeichnet, d.h. Leistungen, die eine Gesellschaft ihren Gesellschaftern, ihr selbst oder ihren Gesellschaftern nahe stehenden Personen ohne entsprechende Gegenleistung zuwendet, aber unbeteiligten Dritten unter den gleichen UmstÃ¤nden nicht erbringen wÃ¼rde (Urteil des EidgenÃ¶ssischen Versicherungsgerichts vom 19. November 2002 in Sachen S., H 49/02) mit Hinweisen).</w:t>
      </w:r>
    </w:p>
    <w:p>
      <w:r>
        <w:t>PraxisgemÃ¤ss ist es Sache der Ausgleichskassen, selbstÃ¤ndig zu beurteilen, ob ein Einkommensbestandteil als massgebender Lohn oder als Kapitalertrag qualifiziert werden muss. Der in Art. 23 AHVV enthaltenen Ordnung entspricht es, dass sich die Ausgleichskassen in der Regel jedoch an die bundessteuerrechtliche Betrachtungsweise halten. Soweit es vertretbar ist, soll eine verschiedene Betrachtungsweise der SteuerbehÃ¶rde und der AHV-Verwaltung vermieden werden, dies um der Einheit und Widerspruchslosigkeit der gesamten Rechtsordnung willen (BGE 103 V 4 f.; ZAK 1989 S. 148 Erw. 2c). Die ParallelitÃ¤t zwischen sozialversicherungs- und steuerrechtlicher Qualifikation ist nicht leichthin preiszugeben. Davon geht die Rechtsprechung aus, indem sie fÃ¼r den Schluss auf massgebenden Lohn bei BezÃ¼gen, die rechtskrÃ¤ftig der Reinertragssteuer unterworfen sind, ausschlaggebende GrÃ¼nde verlangt (Urteil des EidgenÃ¶ssischen Versicherungsgerichts vom 19. November 2002 in Sachen S., H 49/02, mit Hinweis auf das nicht verÃ¶ffentlichte Urteil R. AG vom 30. Juni 1997, H 295/95).</w:t>
      </w:r>
    </w:p>
    <w:p>
      <w:r>
        <w:t>Â Â Â Â Â Â Â Â</w:t>
      </w:r>
    </w:p>
    <w:p>
      <w:r>
        <w:t>2.Â Â Â Â Â Â</w:t>
      </w:r>
    </w:p>
    <w:p>
      <w:r>
        <w:t>2.1Â Â Â Â  Der BeschwerdefÃ¼hrer lÃ¤sst zunÃ¤chst geltend machen, die Ausgleichskasse sei nicht befugt gewesen, auf die VerfÃ¼gungen vom 24. Februar 1998 und vom 17. Juni 1999 zurÃ¼ckzukommen und diese durch die angefochtenen VerfÃ¼gungen vom 11. Juli 2002 zu ersetzen.</w:t>
      </w:r>
    </w:p>
    <w:p>
      <w:r>
        <w:t>2.2Â Â Â Â  GemÃ¤ss einem allgemeinen Grundsatz des Verwaltungsrechts kann die Verwaltung eine formell rechtskrÃ¤ftige VerfÃ¼gung, welche nicht Gegenstand einer richterlichen Beurteilung gebildet hat, in WiedererwÃ¤gung ziehen, wenn sie zweifellos unrichtig und ihre Beurteilung von erheblicher Bedeutung ist (BGE 122 V 21 Erw. 3a).</w:t>
      </w:r>
    </w:p>
    <w:p>
      <w:r>
        <w:t>Mit VerfÃ¼gungen vom 24. Februar 1998 sowie vom 17. Juni 1999 wurden die BeitrÃ¤ge des BeschwerdefÃ¼hrers fÃ¼r die Jahre 1997 bis 1999 auf je Fr. 0 festgelegt (vgl. Urk. 2/1-2, Urk. 1). Aufgrund der Steuermeldungen vom 17. Januar 2002 und vom 21. Juli 2003 (Urk. 12/2, 12/4 und Urk. 19/4) ergibt sich, dass sich die vom BeschwerdefÃ¼hrer effektiv geschuldeten BeitrÃ¤ge fÃ¼r die Jahre 1997 bis 1999 auf mehr als Fr. 10'000.-- pro Jahr belaufen (vgl. Erw. 3 hiernach). Damit erweisen sich die ursprÃ¼nglichen VerfÃ¼gungen als zweifellos falsch. Angesichts der zur Diskussion stehenden BeitrÃ¤ge ist auch das Erfordernis der Erheblichkeit erfÃ¼llt. Die Voraussetzungen fÃ¼r eine Korrektur der ursprÃ¼nglichen VerfÃ¼gungen auf dem Weg der WiedererwÃ¤gung sind damit gegeben.</w:t>
      </w:r>
    </w:p>
    <w:p>
      <w:r>
        <w:t>Der Einwand des BeschwerdefÃ¼hrers, wonach eine solche Korrektur vor dem Vertrauensschutz nicht standhalte, findet weder im Gesetz noch in der Rechtsprechung eine StÃ¼tze. Der weitere Einwand, dass die Belastung mit den nachtrÃ¤glich verfÃ¼gten BeitrÃ¤gen eine unzumutbare HÃ¤rte darstelle, wird durch die vom BeschwerdefÃ¼hrer eingereichte SteuererklÃ¤rung fÃ¼r die kantonale und direkte Bundessteuer 2002 vom 7. April 2003 widerlegt, in welcher er fÃ¼r die direkte Bundessteuer ein steuerbares Einkommen von Fr. 335'668.-- deklariert hat und fÃ¼r die kantonale Steuer ein satzbestimmendes VermÃ¶gen von Fr. 7'243'000.-- (Urk. 28/6).</w:t>
      </w:r>
    </w:p>
    <w:p>
      <w:r>
        <w:t>Die Ausgleichskasse war damit befugt, die ursprÃ¼nglichen VerfÃ¼gungen auf dem Weg der WiedererwÃ¤gung durch die angefochtenen VerfÃ¼gungen zu ersetzen.</w:t>
      </w:r>
    </w:p>
    <w:p>
      <w:r>
        <w:rPr>
          <w:b/>
        </w:rPr>
        <w:t>E. 3</w:t>
      </w:r>
    </w:p>
    <w:p>
      <w:r>
        <w:t>Â Â Â Â Â Â Â  Die Beschwerdegegnerin wird verpflichtet, dem BeschwerdefÃ¼hrer eine ProzessentschÃ¤digung von Fr. 400.-- (inklusive Barauslagen und Mehrwertsteuer) zu bezahlen.</w:t>
      </w:r>
    </w:p>
    <w:p>
      <w:r>
        <w:t>4.Â Â Â Â Â Â Â Â  Zustellung gegen Empfangsschein an:</w:t>
      </w:r>
    </w:p>
    <w:p>
      <w:r>
        <w:t>- Koster Consulting AG unter Beilage einer Kopie von Urk. 28-30</w:t>
      </w:r>
    </w:p>
    <w:p>
      <w:r>
        <w:t>- Sozialversicherungsanstalt des Kantons ZÃ¼rich, Ausgleichskasse, unter Beilage einer Kopie von Urk. 28-30</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