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AB.2002.00024 vom 13. Februar 2003</w:t>
      </w:r>
    </w:p>
    <w:p>
      <w:r>
        <w:t>ZH Sozialversicherungsgericht, 2003-02-13, DE</w:t>
      </w:r>
    </w:p>
    <w:p>
      <w:r>
        <w:rPr>
          <w:b/>
        </w:rPr>
        <w:t xml:space="preserve">Quelle: </w:t>
      </w:r>
      <w:r>
        <w:t>https://mcp.opencaselaw.ch/entscheid/zh_sozialversicherungsgericht_AB.2002.00024</w:t>
      </w:r>
    </w:p>
    <w:p>
      <w:r>
        <w:t>FR: ZH_SOZIALVERSICHERUNGSGERICHT AB.2002.00024 du 13 février 2003</w:t>
      </w:r>
    </w:p>
    <w:p>
      <w:r>
        <w:t>IT: ZH_SOZIALVERSICHERUNGSGERICHT AB.2002.00024 del 13 febbraio 2003</w:t>
      </w:r>
    </w:p>
    <w:p>
      <w:pPr>
        <w:pStyle w:val="Heading2"/>
      </w:pPr>
      <w:r>
        <w:t>Erwägungen</w:t>
      </w:r>
    </w:p>
    <w:p>
      <w:r>
        <w:rPr>
          <w:b/>
        </w:rPr>
        <w:t>E. 2</w:t>
      </w:r>
    </w:p>
    <w:p>
      <w:r>
        <w:t>Hiegegen erhob C.___ am 12. Januar 2002 Beschwerde mit dem Antrag auf Erh?hung der monatlichen Altersrente mit der Begr?ndung, es m?ssten ihm mehr Erziehungsgutschriften angerechnet werden (Urk. 1). In ihrer Beschwerdeantwort vom 21. Mai 2002 beantragte die Ausgleichskasse unter Hinweis auf die Wiedererw?gungsverf?gung vom 25. Januar 2002, bei welcher die Leistungen der Arbeitsversicherung aus dem Jahre 2001 mitber?cksichtigt worden seien, die Abweisung der Beschwerde (Urk. 8). Nachdem innert Frist keine Replik eingegangen war, wurde der Schriftenwechsel mit Verf?gung vom 2. Juli 2002 als geschlossen erkl?rt (Urk. 12).</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w:t>
      </w:r>
    </w:p>
    <w:p>
      <w:r>
        <w:t>2.1???? Nach Art. 53 Abs. 3 des Bundesgesetzes ?ber den Allgemeinen Teil des Sozialversicherungsrechts (ATSG) kann der Versicherungstr?ger eine Verf?gung oder einen Einspracheentscheid, gegen die Beschwerde erhoben wurde, so lange wiedererw?gen, bis er gegen?ber der Beschwerdebeh?rde Stellung nimmt. Die neue Verf?gung oder der neue Einspracheentscheid beendet den Streit insoweit, als damit den Antr?gen der beschwerdef?hrenden Partei entsprochen wird. Soweit den Beschwerdeantr?gen nicht stattgegeben wird, besteht der Rechtsstreit weiter; in diesem Fall muss die Beschwerdebeh?rde auf die Sache eintreten, ohne dass die beschwerdef?hrende Partei die neue Verf?gung oder den neuen Einspracheentscheid anzufechten braucht (vgl. BGE 113 V 237). Einem nach der Vernehmlassung ergangenen Wiedererw?gungsentscheid kommt jedoch nur die Bedeutung eines Antrages an das Gericht zu, wie zu entscheiden sei (ZAK 1989 S. 563 Erw. 2a, vgl. auch ZAK 1989 S. 310).</w:t>
      </w:r>
    </w:p>
    <w:p>
      <w:r>
        <w:t>2.2???? Die Ausgleichskasse hat die angefochtene Verf?gung vom 11. Januar 2002 in Wiedererw?gung gezogen und am 25. Januar 2002 eine neue Verf?gung erlassen, mit welcher sie dem Beschwerdef?hrer nunmehr eine ordentliche Altersrente von monatlich Fr. 1'260.-- gew?hrt, dies unter Mitber?cksichtigung der Leistungen Arbeitslosenversicherung und daher aufgrund eines massgebenden durchschnittlichen Jahreseinkommen von Fr. 32'136.-- (Urk. 9/5; vgl. Urk. 8 S. 1, Urk. 9/4 und Urk. 9/6). Da vorliegend aber der Anspruch auf Erziehungsgutschriften strittig ist (vgl. Urk. 1), besteht der Rechtsschtreit weiter.</w:t>
      </w:r>
    </w:p>
    <w:p>
      <w:r>
        <w:rPr>
          <w:b/>
        </w:rPr>
        <w:t>E. 3</w:t>
      </w:r>
    </w:p>
    <w:p>
      <w:r>
        <w:t>Zustellung gegen Empfangsschein an:</w:t>
      </w:r>
    </w:p>
    <w:p>
      <w:r>
        <w:t>- C.___</w:t>
      </w:r>
    </w:p>
    <w:p>
      <w:r>
        <w:t>- Sozialversicherungsanstalt des Kantons Z?rich, Ausgleichskasse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