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WP250007 vom 26. November 2025</w:t>
      </w:r>
    </w:p>
    <w:p>
      <w:r>
        <w:t>ZH Obergericht, 2025-11-26, DE</w:t>
      </w:r>
    </w:p>
    <w:p>
      <w:r>
        <w:rPr>
          <w:b/>
        </w:rPr>
        <w:t xml:space="preserve">Quelle: </w:t>
      </w:r>
      <w:r>
        <w:t>https://mcp.opencaselaw.ch/entscheid/zh_obergericht_WP250007</w:t>
      </w:r>
    </w:p>
    <w:p>
      <w:r>
        <w:t>FR: ZH_OBERGERICHT WP250007 du 26 novembre 2025</w:t>
      </w:r>
    </w:p>
    <w:p>
      <w:r>
        <w:t>IT: ZH_OBERGERICHT WP250007 del 26 novembre 2025</w:t>
      </w:r>
    </w:p>
    <w:p>
      <w:pPr>
        <w:pStyle w:val="Heading2"/>
      </w:pPr>
      <w:r>
        <w:t>Erwägungen</w:t>
      </w:r>
    </w:p>
    <w:p>
      <w:r>
        <w:rPr>
          <w:b/>
        </w:rPr>
        <w:t>E. 1</w:t>
      </w:r>
    </w:p>
    <w:p>
      <w:r>
        <w:t>a) In den Prozessen des Einzelgerichts im vereinfachten Verfahren am Bezirksgericht Horgen betreffend Kinderunterhalt sowie Wegzug (vorsorgliche Massnahmen) und Anpassung der übrigen Kinderbelange (Geschäfts-Nr. FK180008-F und FK190020-F) wurden dem damaligen Beklagten und heutigen Gesuchsgegner und Berufungskläger (fortan Gesuchsgegner) mit den Urteilen und Verfügungen vom 25. Januar 2019 und 1. Oktober 2019 Gerichtskosten zur Hälfte auferlegt (Urk. 2/1 und 2/3). Zudem wurde sein unentgeltlicher Rechtsver- treter, Rechtsanwalt M.A. HSG in Law, lic. phil. X._____, mit Verfügungen vom 8. März 2019 und 2. Dezember 2019 Fr. 6'607.80 und Fr. 7'325.– aus der Ge- richtskasse entschädigt (Urk. 2/2 und 2/4). Zufolge Gewährung der unentgeltli- chen Rechtspflege wurden diese Kosten – unter Hinweis auf die Nachzahlungs- pflicht gemäss Art. 123 ZPO – einstweilen auf die Gerichtskasse genommen (Urk. 2/1-4). b) Mit Eingabe vom 20. Juni 2025 reichte der Gesuchsteller und Beru- fungsbeklagte (fortan Gesuchsteller) bei der Vorinstanz ein Gesuch um Feststel- lung der Nachzahlungspflicht des Gesuchsgegners im Umfang von Fr. 17'717.80 ein (Urk. 1). Der erstinstanzliche Prozessverlauf kann den Erwägungen des ange- fochtenen Entscheids entnommen werden (Urk. 15). Mit zunächst unbegründetem (Urk. 5) und hernach begründetem Urteil vom 14. August 2025 verpflichtete die Vorinstanz den Gesuchsgegner zur Nachzahlung von Fr. 17'717.80 an den Ge- suchsteller (Urk. 10 Disp.-Ziff. 1 = Urk. 15 Disp.-Ziff. 1). c) Dagegen erhob der Gesuchsgegner mit Eingabe vom 30. September 2025 (Poststempel vom 1. Oktober 2025; entsprechend der Rechtsmittelbeleh- rung in Disp.-Ziff. 4 des angefochtenen Urteils innert Frist, Urk. 11/2) Beschwerde bei der Vorinstanz. Diese leitete am 2. Oktober 2025 die Rechtsmitteleingabe des Gesuchsgegners an die hiesige Kammer weiter. Der Gesuchsgegner beantragt darin Folgendes (Urk. 14 S. 1): "1. Das Urteil des Bezirksgerichts Horgen vom 14. August 2025 sei in Bezug auf die festgelegte Nachzahlungspflicht aufzuheben bzw. abzuändern.</w:t>
      </w:r>
    </w:p>
    <w:p>
      <w:r>
        <w:rPr>
          <w:b/>
        </w:rPr>
        <w:t>E. 2</w:t>
      </w:r>
    </w:p>
    <w:p>
      <w:r>
        <w:t>Eventualiter sei das Urteil an die Vorinstanz zur neuer Beurteilung zurückzu- weisen.</w:t>
      </w:r>
    </w:p>
    <w:p>
      <w:r>
        <w:t>- 3 -</w:t>
      </w:r>
    </w:p>
    <w:p>
      <w:r>
        <w:rPr>
          <w:b/>
        </w:rPr>
        <w:t>E. 3</w:t>
      </w:r>
    </w:p>
    <w:p>
      <w:r>
        <w:t>a) Die Vorinstanz erwog im Wesentlichen, der Gesuchsteller habe ausge- führt, er habe den Gesuchsgegner mit Schreiben vom 12. November 2024 auf die Nachzahlungspflicht hingewiesen und ihn aufgefordert, bei Zahlungsunfähigkeit seine finanzielle Situation offen zu legen. Daraufhin habe der Gesuchsgegner die ausgefüllte Einkommens- und Vermögensaufstellung und diverse Dokumente ein- gereicht. Anhand der Unterlagen sei ersichtlich gewesen, dass der Gesuchsgeg- ner und seine Ehefrau über ein steuerbares Einkommen von Fr. 103'800.– verfü- gen würden. Der Gesuchsgegner sei mit Schreiben vom 17. Dezember 2024 und Erinnerungsschreiben vom 30. Januar 2025 darauf hingewiesen worden, dass seine finanzielle Lage anhand der eingereichten Unterlagen nicht abschliessend beurteilt werden könne und er zur Einreichung weiterer Unterlagen aufgefordert werde (Urk. 15 S. 4). Die geforderten Unterlagen seien trotz erstreckter Frist nicht eingegangen und der Gesuchsgegner sei seiner Mitwirkungspflicht nur teilweise nachgekommen (Urk. 15 S. 4 f.). Unter Hinweis auf die fehlende Mitwirkung habe der Gesuchsteller die Feststellung der Nachzahlungspflicht verlangt. Trotz gericht- licher Aufforderung zur Auskunftserteilung und die ihn treffende Mitwirkungspflicht</w:t>
      </w:r>
    </w:p>
    <w:p>
      <w:r>
        <w:t>- 5 - habe es der Gesuchsgegner auch im gerichtlichen Verfahren unterlassen, Anga- ben über seine Einkommens- und Vermögenssituation zu machen. Dabei sei es nicht Aufgabe des Gerichts, die Grundlagen für die Berechnung des Bedarfs des Gesuchsgegners zu erforschen. Es sei festzuhalten, dass der Gesuchsgegner seine finanziellen Verhältnisse nicht offengelegt habe. Er habe seine Mitwirkungs- pflicht verletzt. Ihm sei deshalb eine Nachzahlungspflicht aufzuerlegen (Urk. 15 S. 5). b) Dem hält der Gesuchsgegner im Wesentlichen entgegen, das steuer- bare Einkommen, welches er gemeinsam mit seiner Ehefrau erziele, dürfe in die- sem Zusammenhang nicht berücksichtigt werden. Die relevanten Verfahrenskos- ten seien vor der Eheschliessung entstanden. Zudem hätten sie eine Gütertren- nung vereinbart. Damit sei allein sein Einkommen ausschlaggebend. Die (mit der Berufung) vorgelegten Unterlagen – Ehevertrag, Steuererklärungen, Lohnaus- weise, Vermögensübersicht – würden klar belegen, dass seine finanzielle Leis- tungsfähigkeit für die Nachzahlung nicht ausreiche, weshalb das Urteil entspre- chend abzuändern und von einer Nachzahlungspflicht abzusehen bzw. diese er- heblich zu reduzieren sei (Urk. 14 S. 1). c) Der Gesuchsgegner liess sich im vorinstanzlichen Verfahren nicht ver- nehmen. Soweit er im Rahmen seiner Berufungsschrift seine finanziellen Verhält- nisse darlegt und moniert, seine finanzielle Leistungsfähigkeit reiche für die Nach- zahlung nicht aus (Urk. 14), handelt es sich um unechte Noven. Wie dargelegt ist die Möglichkeit, im Berufungsverfahren Noven vorzubringen, beschränkt (vgl. vor- stehend E. 2b). Die Voraussetzungen von Art. 317 ZPO sind vorliegend nicht er- füllt. Dem Gesuchsgegner wäre es nach Erhalt der vorinstanzlichen Verfügung vom 4. Juli 2025 (Urk. 3; zugestellt am 7. Juli 2025, Urk. 4/1) ohne Weiteres zu- mutbar gewesen, innert 20-tägiger Frist seine finanziellen Verhältnissen darzule- gen und diese mit entsprechenden Belegen zu untermauern. Seine Ausführungen im Berufungsverfahren zu seinen finanziellen Verhältnissen sind daher verspätet. Auch gelten die von ihm im Berufungsverfahren offerierten Beweismittel (Ehever- trag, Steuererklärungen 2023 und 2024, Lohnausweise 2023 und 2024, Vermö- gensübersicht, d.h. Saldoverlauf des Kontos des Gesuchsgegners bei der PostFi-</w:t>
      </w:r>
    </w:p>
    <w:p>
      <w:r>
        <w:t>- 6 - nance und Liste seiner monatlichen Ausgaben 2025; Urk. 17/1-5) mangels Ver- weis, wo sie bereits von ihm vor Vorinstanz anerboten wurden, als neu und kön- nen daher im Berufungsverfahren nicht mehr berücksichtigt werden. Darauf ist ebenfalls nicht einzugehen. d) Darüber hinaus genügt die Berufungsschrift des Gesuchsgegners den vorgängig aufgeführten Begründungsanforderungen nicht (vgl. E. 2b). Er setzt sich nicht einmal ansatzweise mit der massgeblichen Erwägung der Vorinstanz im angefochtenen Entscheid auseinander, wonach er – trotz gerichtlicher Aufforde- rung zur Auskunftserteilung und ihn treffende Mitwirkungspflicht – im vorinstanzli- chen Verfahren unterlassen habe, Angaben über seine Einkommens- und Vermö- genssituation zu machen. Es gelingt ihm insbesondere nicht, aufzuzeigen, dass die Vorinstanz zu Unrecht davon ausging, dass er seine Mitwirkungspflicht ver- letzt habe. Entsprechend kommt der Gesuchsgegner seiner Rügeobliegenheit im Berufungsverfahren nicht nach (Urk. 14). e) Vor diesem Hintergrund erweist sich die Berufung als offensichtlich un- begründet, weshalb auf sie nicht einzutreten ist.</w:t>
      </w:r>
    </w:p>
    <w:p>
      <w:r>
        <w:rPr>
          <w:b/>
        </w:rPr>
        <w:t>E. 4</w:t>
      </w:r>
    </w:p>
    <w:p>
      <w:r>
        <w:t>a) Die Kostenfreiheitsregeln gemäss Art. 119 Abs. 6 ZPO sind auf das Nachzahlungsverfahren analog anwendbar (vgl. BK ZPO-Bühler, Art. 123 N 46), gelten jedoch nicht für ein diesbezügliches Rechtsmittelverfahren (BGE 137 III 470 E. 6). Für das Rechtsmittelverfahren sind demnach Kosten festzusetzen. Die zweitinstanzliche Entscheidgebühr ist in Anwendung von § 4 Abs. 1 und 2, § 8 Abs. 1 § 12 Abs. 1 und 2 GebV OG auf Fr. 450.– festzusetzen und dem unterlie- genden Gesuchsgegner aufzuerlegen (Art. 106 Abs. 1 ZPO). b) Für das Berufungsverfahren sind keine Parteientschädigungen zuzu- sprechen, dem Gesuchsgegner zufolge seines Unterliegens (Art. 106 Abs. 1 ZPO), dem Gesuchsteller – der durch die Zentrale Inkassostelle der Gerichte ver- treten wird, die ihre Amtspflicht wahrnimmt und nicht berufsmässig vertreten ist – mangels entschädigungspflichtigem Aufwand (Art. 95 Abs. 3 ZPO).</w:t>
      </w:r>
    </w:p>
    <w:p>
      <w:r>
        <w:t>- 7 -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