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WP230002 vom 10. Mai 2023</w:t>
      </w:r>
    </w:p>
    <w:p>
      <w:r>
        <w:t>ZH Obergericht, 2023-05-10, DE</w:t>
      </w:r>
    </w:p>
    <w:p>
      <w:r>
        <w:rPr>
          <w:b/>
        </w:rPr>
        <w:t xml:space="preserve">Quelle: </w:t>
      </w:r>
      <w:r>
        <w:t>https://mcp.opencaselaw.ch/entscheid/zh_obergericht_WP230002</w:t>
      </w:r>
    </w:p>
    <w:p>
      <w:r>
        <w:t>FR: ZH_OBERGERICHT WP230002 du 10 mai 2023</w:t>
      </w:r>
    </w:p>
    <w:p>
      <w:r>
        <w:t>IT: ZH_OBERGERICHT WP230002 del 10 maggio 2023</w:t>
      </w:r>
    </w:p>
    <w:p>
      <w:pPr>
        <w:pStyle w:val="Heading2"/>
      </w:pPr>
      <w:r>
        <w:t>Erwägungen</w:t>
      </w:r>
    </w:p>
    <w:p>
      <w:r>
        <w:rPr>
          <w:b/>
        </w:rPr>
        <w:t>E. 1</w:t>
      </w:r>
    </w:p>
    <w:p>
      <w:r>
        <w:t>April 2021, E. 6 m.w.H.; auch BK ZPO-BÜHLER, 2012, Art. 123 N 46). Entspre- chend sind auch für das vorliegende Verfahren keine Kosten zu erheben. 4.2. Der Gesuchsteller verlangt eine Entschädigung, begründet diesen Antrag aber nicht. Ein begründeter Fall im Sinne von Art. 95 Abs. 3 lit. c ZPO, welcher die Zusprechung einer Umtriebsentschädigung für eine nicht berufsmässig vertretene Partei vorsieht, liegt nicht vor. Der Gesuchsteller ist seinerseits vertreten durch ei- ne Verwaltungsbehörde, die lediglich ihre Amtspflicht wahrnimmt. Sie ist weder berufsmässig vertreten noch ist ihr ein entschädigungspflichtiger Aufwand ent- standen. Demnach ist dem Gesuchsteller keine Parteientschädigung zuzuspre- chen. Zufolge ihres Unterliegens ist auch der Gesuchsgegnerin keine Parteient- schädigung zuzusprechen (Art. 106 Abs. 1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