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WP180003 vom 21. März 2019</w:t>
      </w:r>
    </w:p>
    <w:p>
      <w:r>
        <w:t>ZH Obergericht, 2019-03-21, DE</w:t>
      </w:r>
    </w:p>
    <w:p>
      <w:r>
        <w:rPr>
          <w:b/>
        </w:rPr>
        <w:t xml:space="preserve">Quelle: </w:t>
      </w:r>
      <w:r>
        <w:t>https://mcp.opencaselaw.ch/entscheid/zh_obergericht_WP180003</w:t>
      </w:r>
    </w:p>
    <w:p>
      <w:r>
        <w:t>FR: ZH_OBERGERICHT WP180003 du 21 mars 2019</w:t>
      </w:r>
    </w:p>
    <w:p>
      <w:r>
        <w:t>IT: ZH_OBERGERICHT WP180003 del 21 marzo 2019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Berufungsklägerin sei für das Verfahren die unentgeltli- che Rechtspflege zu bewilligen, unter Beiordnung des Un- terzeichneten als unentgeltlicher Rechtsbeistand.</w:t>
      </w:r>
    </w:p>
    <w:p>
      <w:r>
        <w:rPr>
          <w:b/>
        </w:rPr>
        <w:t>E. 3</w:t>
      </w:r>
    </w:p>
    <w:p>
      <w:r>
        <w:t>Januar 2014, E. 3.2.). Was die Gesuchsgegnerin darüber hinaus geltend ma- chen will, bleibt unklar. So zielt ihr Vorbringen, wonach sie hätte angehört werden</w:t>
      </w:r>
    </w:p>
    <w:p>
      <w:r>
        <w:t>- 5 - müssen, ins Leere. Mit vorinstanzlicher Verfügung vom 1. Oktober 2018 wurde die Gesuchsgegnerin zur schriftlichen Stellungnahme aufgefordert (Urk. 1/3). Die- se Verfügung wurde ihr am 4. Oktober 2018 zugestellt (Urk. 1/4). Innert Frist liess sie sich nicht vernehmen. 4.3. Soweit im Übrigen die Gesuchsgegnerin im Rahmen ihrer Rechtsmittelein- gabe ihre finanziellen Verhältnisse darlegt und geltend macht, diese hätten sich in keiner Art und Weise verbessert (Urk. 13 S. 4 ff.), handelt es sich um unechte No- ven. Wie dargelegt ist die Möglichkeit, im Berufungsverfahren Noven vorzubrin- gen, beschränkt (vgl. vorstehend E. 2). Die Voraussetzungen von Art. 317 ZPO sind vorliegend nicht erfüllt. Der Gesuchsgegnerin wäre es nach Erhalt der vor- instanzlichen Verfügung vom 1. Oktober 2018 (Urk. 1/3) ohne Weiteres zumutbar gewesen, sich innert 20-tägiger Frist mit der Vorinstanz in Verbindung zu setzen und die Belege zu ihren aktuellen finanziellen Verhältnissen einzureichen. Auch hätte es ihr freigestanden, innert Frist ihren früheren Rechtsvertreter zu kontaktie- ren und sich diesbezüglich beraten zu lassen. Inwiefern es am Gesuchsteller bzw. der Vorinstanz gewesen sein soll, sich direkt bei den früheren Vertretern der Ge- suchsgegnerin nach ihren finanziellen Verhältnissen zu erkundigen, wie die Ge- suchsgegnerin dies moniert (Urk. 13 S. 2), erhellt nicht. Auch ist nicht nachvoll- ziehbar, weshalb die Vorinstanz nach nicht erfolgter Reaktion der Gesuchsgegne- rin erneut hätte Frist ansetzen müssen, zumal sich diese bereits gegenüber dem Gesuchsteller mehrfach nicht vernehmen liess (Urk. 13 S. 4; Urk. 2/10-11, Urk. 2/13). Die Vorinstanz durfte ohne Weiteres auf eine nochmalige Fristanset- zung verzichten, wurden doch der Gesuchsgegnerin mit Verfügung vom 1. Oktober 2018 die Säumnisfolgen angedroht (Urk. 1/3). Die Vorbringen der Ge- suchsgegnerin zu ihren finanziellen Verhältnissen im Berufungsverfahren sind verspätet. 4.4. Insgesamt erweist sich die Berufung der Gesuchsgegnerin als offensicht- lich unbegründet, weshalb davon abgesehen werden kann, eine Berufungsant- wort des Gesuchstellers einzuholen (Art. 312 Abs. 1 ZPO). Die Berufung ist ab- zuweisen.</w:t>
      </w:r>
    </w:p>
    <w:p>
      <w:r>
        <w:t>- 6 -</w:t>
      </w:r>
    </w:p>
    <w:p>
      <w:r>
        <w:rPr>
          <w:b/>
        </w:rPr>
        <w:t>E. 5</w:t>
      </w:r>
    </w:p>
    <w:p>
      <w:r>
        <w:t>Die Gesuchsgegnerin stellt für das Rechtsmittelverfahren ein Armenrechts- gesuch (Urk. 13 S. 2). Zufolge Aussichtslosigkeit (Art. 117 lit. b ZPO; vgl. vorste- hende Erwägungen) ist das Begehren abzuweisen.</w:t>
      </w:r>
    </w:p>
    <w:p>
      <w:r>
        <w:rPr>
          <w:b/>
        </w:rPr>
        <w:t>E. 6</w:t>
      </w:r>
    </w:p>
    <w:p>
      <w:r>
        <w:t>Gemäss Rechtsprechung des Bundesgerichts gilt die Kostenfreiheit im Ver- fahren um die Gewährung der unentgeltlichen Rechtspflege (nur) für das Ge- suchsverfahren vor der ersten oder zweiten Instanz (BGE 137 III 470 E. 6.5.5). Diese höchstrichterliche Rechtsprechung lässt sich vorliegend auf das Nachzah- lungsverfahren übertragen (BGE 137 III 470 E. 6.5.3). Für das Rechtsmittelverfah- ren sind demnach Kosten festzusetzen. Die zweitinstanzliche Entscheidgebühr ist in Anwendung von § 4 Abs. 1 und 2, § 8 Abs. 1 und § 12 Abs. 1 und 2 GebV OG auf Fr. 1'100.– festzusetzen und der unterliegenden Gesuchsgegnerin aufzuerle- gen (Art. 106 Abs. 1 ZPO). Dem Gesuchsteller ist mangels wesentlicher Umtriebe für das Berufungsverfahren keine Parteientschädigung zuzusprechen (Art.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