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VV250010 vom 29. Oktober 2025</w:t>
      </w:r>
    </w:p>
    <w:p>
      <w:r>
        <w:t>ZH Obergericht, 2025-10-29, DE</w:t>
      </w:r>
    </w:p>
    <w:p>
      <w:r>
        <w:rPr>
          <w:b/>
        </w:rPr>
        <w:t xml:space="preserve">Quelle: </w:t>
      </w:r>
      <w:r>
        <w:t>https://mcp.opencaselaw.ch/entscheid/zh_obergericht_VV250010</w:t>
      </w:r>
    </w:p>
    <w:p>
      <w:r>
        <w:t>FR: ZH_OBERGERICHT VV250010 du 29 octobre 2025</w:t>
      </w:r>
    </w:p>
    <w:p>
      <w:r>
        <w:t>IT: ZH_OBERGERICHT VV250010 del 29 ottobre 2025</w:t>
      </w:r>
    </w:p>
    <w:p>
      <w:pPr>
        <w:pStyle w:val="Heading2"/>
      </w:pPr>
      <w:r>
        <w:t>Erwägungen</w:t>
      </w:r>
    </w:p>
    <w:p>
      <w:r>
        <w:rPr>
          <w:b/>
        </w:rPr>
        <w:t>E. 1</w:t>
      </w:r>
    </w:p>
    <w:p>
      <w:r>
        <w:t>Mit Eingabe vom 8. Oktober 2025 gelangte das Bezirksgericht C._____ an die Verwaltungskommission des Obergerichts des Kantons Zürich und ersuchte um Zuweisung des Eheschutzverfahrens in Sachen A._____ gegenB._____, Geschäfts-Nr. EE250033-…, an ein anderes Gericht des Kantons Zürich. Zur Begründung brachte es vor, beim Vater des Gesuchstellers handle es sich um den ehemaligen Bezirksrichter D._____, der bis im Jahre 2020 am Bezirksge- richt C._____ amtierend tätig gewesen sei. D._____ begleite den Gesuchstel- ler im Rahmen der Gespräche mit den Behörden und sei somit in die Sache involviert. Aufgrund der langjährigen Zusammenarbeit sämtlicher Bezirksrich- terinnen und Bezirksrichter mit D._____ fehle es den Gerichtsmitgliedern an der erforderlichen Unabhängigkeit, bzw. es bestehe zumindest objektiv der Anschein der Befangenheit i.S.v. Art. 47 Abs. 1 lit. f ZPO (act. 1).</w:t>
      </w:r>
    </w:p>
    <w:p>
      <w:r>
        <w:rPr>
          <w:b/>
        </w:rPr>
        <w:t>E. 2</w:t>
      </w:r>
    </w:p>
    <w:p>
      <w:r>
        <w:t>Mit Verfügung vom 10. Oktober 2025 wurden die Parteien zur allfälligen Stel- lungnahme eingeladen (act. 3). Mit Eingabe vom 15. Oktober 2025 liess der Gesuchsteller auf eine Stellungnahme verzichten (act. 4). Die Gesuchsgeg- nerin liess sodann innert Frist die Umteilung des Verfahrens an ein anderes Bezirksgericht beantragen (act. 5). Das Verfahren erweist sich als spruchreif.</w:t>
      </w:r>
    </w:p>
    <w:p>
      <w:r>
        <w:rPr>
          <w:b/>
        </w:rPr>
        <w:t>E. 3</w:t>
      </w:r>
    </w:p>
    <w:p>
      <w:r>
        <w:t>Zuständig zur Behandlung des vorliegenden Gesuchs um Umteilung ist die Verwaltungskommission des Obergerichts des Kantons Zürich als unmittel- bare Aufsichtsbehörde über die ihm unterstellten Gerichte (§ 80 Abs. 1 lit. b GOG). II. 1. Kann ein Gericht infolge Ausstands nicht mehr durch den Beizug von Ersatz- mitgliedern besetzt werden oder ist der Beizug von solchen nicht angebracht, so überweist die Aufsichtsbehörde die Streitsache einem anderen Gericht gleicher sachlicher und funktionaler Zuständigkeit (§ 117 GOG).</w:t>
      </w:r>
    </w:p>
    <w:p>
      <w:r>
        <w:t>- 3 - 2. Beim Bezirksgericht C._____ handelt es sich um ein kleines Landgericht. D._____ hatte an diesem bis ins Jahr 2020 das Amt als Bezirksrichter inne. Auch wenn er seit mehreren Jahren nicht mehr am besagten Gericht tätig ist, so erscheint es angesichts der Grösse des Gerichts und der jahrelangen Zu- sammenarbeit mit den amtierenden Mitgliedern des Bezirksgerichts nicht an- gebracht, das Eheschutzverfahren in Sachen seines Sohnes A._____, in wel- ches D._____ zumindest als Begleitperson des Gesuchstellers involviert sei, durch das Bezirksgericht C._____ behandeln zu lassen. Gegen Aussen könnte der Eindruck erweckt werden, der Präsident sowie die zuständigen Bezirksrichterinnen und Bezirksrichter seien nicht ausreichend unabhängig, auch wenn sich diese zur Frage des Ausstandes selbst nicht geäussert ha- ben. Gleiches gilt für die juristischen Mitarbeiter des Gerichts, weshalb davon abzusehen ist, für die Behandlung des vorliegenden Verfahrens Ersatzmitglie- der heranzuziehen. Demzufolge ist dem Begehren um Umteilung des Ehe- schutzverfahrens zu folgen und ist das Eheschutzbegehren dem Bezirksge- richt E._____ zur weiteren Behandlung zu überweisen.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