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VV190013 vom 4. Juni 2019</w:t>
      </w:r>
    </w:p>
    <w:p>
      <w:r>
        <w:t>ZH Obergericht, 2019-06-04, DE</w:t>
      </w:r>
    </w:p>
    <w:p>
      <w:r>
        <w:rPr>
          <w:b/>
        </w:rPr>
        <w:t xml:space="preserve">Quelle: </w:t>
      </w:r>
      <w:r>
        <w:t>https://mcp.opencaselaw.ch/entscheid/zh_obergericht_VV190013</w:t>
      </w:r>
    </w:p>
    <w:p>
      <w:r>
        <w:t>FR: ZH_OBERGERICHT VV190013 du 4 juin 2019</w:t>
      </w:r>
    </w:p>
    <w:p>
      <w:r>
        <w:t>IT: ZH_OBERGERICHT VV190013 del 4 giugno 2019</w:t>
      </w:r>
    </w:p>
    <w:p>
      <w:pPr>
        <w:pStyle w:val="Heading2"/>
      </w:pPr>
      <w:r>
        <w:t>Erwägungen</w:t>
      </w:r>
    </w:p>
    <w:p>
      <w:r>
        <w:rPr>
          <w:b/>
        </w:rPr>
        <w:t>E. 1</w:t>
      </w:r>
    </w:p>
    <w:p>
      <w:r>
        <w:t>Am 8. April 2019 überwies die Staatsanwaltschaft See/Oberland (nachfol- gend: Staatsanwaltschaft) einen Strafbefehl in Sachen B._____ (nachfol- gend: Beschuldigter) an das Bezirksgericht C._____, nachdem dieser gegen den am 29. Januar 2019 erlassenen Strafbefehl Einsprache erhoben und die Staatsanwaltschaft am Strafbefehl festgehalten hatte (act. 2/2). Die Staats- anwaltschaft wirft dem Beschuldigten unter anderem vor, sich gegenüber A._____, teilamtlicher Bezirksrichter am Bezirksgericht C._____, der üblen Nachrede schuldig gemacht zu haben, indem er eine E-Mail an dessen Ar- beitgeber, Dr. D._____ der Firma E._____, versandt habe, in welcher er die Ehre von A._____ verletzt habe. Das Bezirksgericht C._____ eröffnete in der Folge das Verfahren Nr. GB190003-… und ersuchte die Verwaltungskom- mission des Obergerichts des Kantons Zürich mit Schreiben vom 17. April 2019 um Zuweisung des Strafverfahrens an ein anderes Bezirksgericht des Kantons Zürich (act. 1). Zur Begründung brachte es vor, beim Geschädigten A._____ handle es sich um ein Mitglied des Bezirksgerichts C._____. Als Strafantragssteller sei er gleichzeitig Privatkläger im Sinne von Art. 118 Abs. 2 StPO. Aufgrund seiner Tätigkeit am Bezirksgericht würde der An- schein von Befangenheit bestehen, würde das Verfahren durch selbiges be- handelt.</w:t>
      </w:r>
    </w:p>
    <w:p>
      <w:r>
        <w:rPr>
          <w:b/>
        </w:rPr>
        <w:t>E. 2</w:t>
      </w:r>
    </w:p>
    <w:p>
      <w:r>
        <w:t>Beim Bezirksgericht C._____ handelt es sich um ein kleineres Landgericht. Der im Strafverfahren Nr. GB190003-… als Privatkläger auftretende A._____ ist am besagten Bezirksgericht als Bezirksrichter tätig. Es ist davon auszugehen, dass zwischen den Bezirksrichterinnen und Bezirksrichtern ein kollegiales bzw. freundschaftliches Verhältnis besteht, weshalb es nicht an- gebracht erscheint, diese ein Verfahren behandeln zu lassen, in welchem ein Kollege als Verfahrensbeteiligter teilnimmt. Gegen Aussen könnte dadurch der Eindruck erweckt werden, die Richterinnen und Richter seien nicht ausreichend unabhängig, auch wenn sie sich vorliegend selbst nicht zur Frage des Ausstandes geäussert haben. Gleiches gilt für die juristischen Mitarbeiter des Gerichts, weshalb davon abzusehen ist, für die Behandlung des Strafverfahrens Ersatzmitglieder heranzuziehen. Unter diesen Umstän- den erscheint es weder aus der Sicht der Verfahrensbeteiligten noch aus der</w:t>
      </w:r>
    </w:p>
    <w:p>
      <w:r>
        <w:t>- 4 - Sicht der Öffentlichkeit angebracht, das Verfahren durch das Bezirksgericht C._____ behandeln zu lassen oder dafür Ersatzmitglieder heranzuziehen. Demzufolge ist der Strafprozess dem Bezirksgericht F._____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