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VV190002 vom 14. März 2019</w:t>
      </w:r>
    </w:p>
    <w:p>
      <w:r>
        <w:t>ZH Obergericht, 2019-03-14, DE</w:t>
      </w:r>
    </w:p>
    <w:p>
      <w:r>
        <w:rPr>
          <w:b/>
        </w:rPr>
        <w:t xml:space="preserve">Quelle: </w:t>
      </w:r>
      <w:r>
        <w:t>https://mcp.opencaselaw.ch/entscheid/zh_obergericht_VV190002</w:t>
      </w:r>
    </w:p>
    <w:p>
      <w:r>
        <w:t>FR: ZH_OBERGERICHT VV190002 du 14 mars 2019</w:t>
      </w:r>
    </w:p>
    <w:p>
      <w:r>
        <w:t>IT: ZH_OBERGERICHT VV190002 del 14 marzo 2019</w:t>
      </w:r>
    </w:p>
    <w:p>
      <w:pPr>
        <w:pStyle w:val="Heading2"/>
      </w:pPr>
      <w:r>
        <w:t>Erwägungen</w:t>
      </w:r>
    </w:p>
    <w:p>
      <w:r>
        <w:rPr>
          <w:b/>
        </w:rPr>
        <w:t>E. 1</w:t>
      </w:r>
    </w:p>
    <w:p>
      <w:r>
        <w:t>Kann ein Gericht infolge Ausstands nicht mehr durch den Beizug von Er- satzmitgliedern besetzt werden oder ist der Beizug von solchen nicht ange- bracht, so überweist die Aufsichtsbehörde die Streitsache einem anderen Gericht gleicher sachlicher und funktionaler Zuständigkeit (§ 117 GOG).</w:t>
      </w:r>
    </w:p>
    <w:p>
      <w:r>
        <w:rPr>
          <w:b/>
        </w:rPr>
        <w:t>E. 2</w:t>
      </w:r>
    </w:p>
    <w:p>
      <w:r>
        <w:t>Beim Bezirksgericht C._____ handelt es sich um ein mittelgrosses Landge- richt. Als Vorsitzende der Paritätischen Schlichtungsbehörde in Miet- und Pachtsachen amten nebst der Leitenden Gerichtsschreiberin Gerichts- schreiberinnen und Gerichtsschreiber des Bezirksgerichts (§ 64 Abs. 1 lit. a GOG). Ihnen stehen Schlichterinnen und Schlichter zur Seite. Es erscheint als glaubhaft, dass aufgrund der jahrelangen Zusammenarbeit des als Schlichter tätigen Verwaltungsratsmitglieds der Beklagten, D._____, zu den Mitgliedern und Mitarbeitern des Bezirksgerichts und der Paritätischen Schlichtungsbehörde in Miet- und Pachtsachen ein kollegiales, wenn nicht sogar freundschaftliches Verhältnis besteht. Es ist daher nicht angebracht, die Vorsitzenden und weiteren Beisitzer ein Verfahren behandeln zu lassen, das gegen ein Unternehmen eingeleitet wurde, dessen Verwaltungsratsmit- glied ein Kollege ist. Gegen aussen könnte dadurch der Eindruck erweckt werden, sie seien nicht ausreichend unabhängig, auch wenn sich vorliegend die Vorsitzenden sowie die Schlichterinnen und Schlichter selbst nicht zur Frage des Ausstandes geäussert haben.</w:t>
      </w:r>
    </w:p>
    <w:p>
      <w:r>
        <w:rPr>
          <w:b/>
        </w:rPr>
        <w:t>E. 3</w:t>
      </w:r>
    </w:p>
    <w:p>
      <w:r>
        <w:t>Aufgrund der besagten Umstände erscheint es weder aus der Sicht der Ver- fahrensbeteiligten noch aus der Sicht der Öffentlichkeit angebracht, die Streitsache durch die Schlichtungsbehörde des Bezirksgerichts C._____ be- urteilen zu lassen. Das Verfahren ist daher der Paritätischen Schlichtungs- behörde in Miet- und Pachtsachen des Bezirksgerichts Zürich zur weiteren</w:t>
      </w:r>
    </w:p>
    <w:p>
      <w:r>
        <w:t>- 4 -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