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VU150019 vom 24. Juni 2015</w:t>
      </w:r>
    </w:p>
    <w:p>
      <w:r>
        <w:t>ZH Obergericht, 2015-06-24, DE</w:t>
      </w:r>
    </w:p>
    <w:p>
      <w:r>
        <w:rPr>
          <w:b/>
        </w:rPr>
        <w:t xml:space="preserve">Quelle: </w:t>
      </w:r>
      <w:r>
        <w:t>https://mcp.opencaselaw.ch/entscheid/zh_obergericht_VU150019</w:t>
      </w:r>
    </w:p>
    <w:p>
      <w:r>
        <w:t>FR: ZH_OBERGERICHT VU150019 du 24 juin 2015</w:t>
      </w:r>
    </w:p>
    <w:p>
      <w:r>
        <w:t>IT: ZH_OBERGERICHT VU150019 del 24 giugno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§ 18 Abs. 1 lit. q der Verordnung über die Organisation des Ober- gerichts (LS 212.51) entscheidet die Verwaltungskommission über nachträg- liche Gesuche um Stundung und Erlass von Verfahrenskosten (vgl. auch § 5 der Verordnung des Obergerichts über das Rechnungswesen der Bezirksge- richte und des Obergerichts sowie über das zentrale Inkasso vom 9. April 2003 [LS 211.14]).</w:t>
      </w:r>
    </w:p>
    <w:p>
      <w:r>
        <w:rPr>
          <w:b/>
        </w:rPr>
        <w:t>E. 2</w:t>
      </w:r>
    </w:p>
    <w:p>
      <w:r>
        <w:t>Prozessentschädigungen sind keine zu entrichten.</w:t>
      </w:r>
    </w:p>
    <w:p>
      <w:r>
        <w:rPr>
          <w:b/>
        </w:rPr>
        <w:t>E. 3</w:t>
      </w:r>
    </w:p>
    <w:p>
      <w:r>
        <w:t>Hinzuweisen ist sodann auf das Rechtsmittel des Rekurses an die Rekurs- kommission.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