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VR240008 vom 15. Juli 2025</w:t>
      </w:r>
    </w:p>
    <w:p>
      <w:r>
        <w:t>ZH Obergericht, 2025-07-15, DE</w:t>
      </w:r>
    </w:p>
    <w:p>
      <w:r>
        <w:rPr>
          <w:b/>
        </w:rPr>
        <w:t xml:space="preserve">Quelle: </w:t>
      </w:r>
      <w:r>
        <w:t>https://mcp.opencaselaw.ch/entscheid/zh_obergericht_VR240008</w:t>
      </w:r>
    </w:p>
    <w:p>
      <w:r>
        <w:t>FR: ZH_OBERGERICHT VR240008 du 15 juillet 2025</w:t>
      </w:r>
    </w:p>
    <w:p>
      <w:r>
        <w:t>IT: ZH_OBERGERICHT VR240008 del 15 luglio 2025</w:t>
      </w:r>
    </w:p>
    <w:p>
      <w:pPr>
        <w:pStyle w:val="Heading2"/>
      </w:pPr>
      <w:r>
        <w:t>Erwägungen</w:t>
      </w:r>
    </w:p>
    <w:p>
      <w:r>
        <w:rPr>
          <w:b/>
        </w:rPr>
        <w:t>E. 5</w:t>
      </w:r>
    </w:p>
    <w:p>
      <w:r>
        <w:t>Hinsichtlich Antrag e) betreffend Eröffnung eines Strafverfahrens gegen die weitere Verfahrensbeteiligte fehlt es ferner an der Zuständigkeit der Verwal- tungskommission zu dessen Behandlung. Strafanzeigen sind direkt bei den Strafuntersuchungsbehörden (Staatsanwaltschaft/Polizei) einzureichen. Auf</w:t>
      </w:r>
    </w:p>
    <w:p>
      <w:r>
        <w:t>- 12 - den Standpunkt des Rekurrenten, die weitere Verfahrensbeteiligte habe eine kriminelle Organisation gebildet, strafbare Handlungen begangen, den Rekur- renten zum Sündenbock gemacht und die Strafbehörden in die Irre geführt, was von Amtes wegen verfolgt werden müsse (act. 1 Rz 70 - Rz 78), ist damit - entsprechend den Ausführungen der Rekursgegnerin (act. 20 Rz 25) und der weiteren Verfahrensbeteiligten (act. 25 Rz 7, 12 und 42) - im vorliegenden Verfahren nicht näher einzugehen. Auf Antrag e) ist mangels Zuständigkeit ebenfalls nicht einzutreten.</w:t>
      </w:r>
    </w:p>
    <w:p>
      <w:r>
        <w:rPr>
          <w:b/>
        </w:rPr>
        <w:t>E. 6</w:t>
      </w:r>
    </w:p>
    <w:p>
      <w:r>
        <w:t>Weiter beruft sich der Rekurrent auf eine mögliche Befangenheit der involvier- ten Staatsanwaltschaft und ersucht um Prüfung der Voraussetzungen für den Ausstand der Staatsanwaltschaft (act. 1 S. 2). Die weitere Verfahrensbetei- ligte erachtet die Verwaltungskommission zur Beurteilung dieser Frage als un- zuständige Instanz (act. 25 Rz 16). Die in § 5a VRG enthaltenen Ausstands- gründe gelten einzig für Personen, welche eine Anordnung zu treffen, dabei mitzuwirken oder sie vorzubereiten haben. Der Staatsanwaltschaft III des Kantons Zürich kommt im vorliegenden Verfahren keine entsprechende Funk- tion zu. Demnach kann auch nicht über allfällige Ausstandsgründe entschie- den werden. Solche Vorbringen hätten im Rahmen der ursprünglichen Stra- funtersuchung, welche zum Urteil vom 13. Dezember 2018, Geschäfts- Nr. SB170180-O, geführt hat, geltend gemacht werden müssen. Auf diesen Antrag ist ebenfalls nicht einzutreten.</w:t>
      </w:r>
    </w:p>
    <w:p>
      <w:r>
        <w:rPr>
          <w:b/>
        </w:rPr>
        <w:t>E. 7</w:t>
      </w:r>
    </w:p>
    <w:p>
      <w:r>
        <w:t>Schliesslich beantragt der Rekurrent, das Rechtshilfeverfahren infolge Verlet- zung des rechtlichen Gehörs für nichtig zu erklären (act. 1 Rz 66). Diesbezüg- lich besteht ebenfalls keine Zuständigkeit der Verwaltungskommission. Die- ses Vorbringen hätte der Rekurrent im Rechtshilfe- bzw. in einem dieses be- treffenden Rechtsmittelverfahren geltend machen müssen. Darauf ist nicht einzutreten.</w:t>
      </w:r>
    </w:p>
    <w:p>
      <w:r>
        <w:rPr>
          <w:b/>
        </w:rPr>
        <w:t>E. 8</w:t>
      </w:r>
    </w:p>
    <w:p>
      <w:r>
        <w:t>Abschliessend ist damit festzuhalten, dass es dem Rekurrenten am schutz- würdigen Interesse zur Anfechtung der Anordnung der Rekursgegnerin vom 18. Juni 2024, Geschäfts-Nr. 135216, fehlt, weshalb auf den Antrag a) nicht</w:t>
      </w:r>
    </w:p>
    <w:p>
      <w:r>
        <w:t>- 13 - einzutreten ist. Die übrigen Anträge sind sodann abzuweisen, soweit darauf einzutreten ist. IV. 1. Angesichts des Aufwands des Gerichts und der Komplexität des Rekursver- fahrens ist die Gerichtsgebühr für das vorliegende Verfahren auf Fr. 2'000.- festzusetzen (§ 20 GebV OG, LS 211.11). 2. Das Gesuch des Rekurrenten um Gewährung der unentgeltlichen Rechts- pflege einschliesslich der Bestellung eines unentgeltlichen Rechtsvertreters (act. 1, 7 und 12) wurde mit Beschluss vom 17. Januar 2025 (act. 26) abge- wiesen. Der Rekurrent unterliegt im vorliegenden Rekursverfahren vollum- fänglich, weshalb ihm die Kosten des Verfahrens aufzuerlegen sind (§ 13 VRG). Die Kosten sind mit dem im vorliegenden Verfahren geleisteten Kos- tenvorschuss von Fr. 2'000.- zu verrechnen. 3.1. Dem Antrag des Rekurrenten auf Ausrichtung einer Parteientschädigung (act. 1 Rz 83) kann aufgrund des Ausgangs des Verfahrens nicht entsprochen werden (§ 17 Abs. 2 VRG). 3.2. Die weitere Verfahrensbeteiligte ersucht ebenfalls um Ausrichtung einer an- gemessenen Parteientschädigung. Es sei für die ausländische Partei unzu- mutbar gewesen, selbst eine Stellungnahme abzugeben (act. 25 Rz 47). An- gesichts des Umstandes, dass es sich bei der weiteren Verfahrensbeteiligten um eine Gesellschaft mit Sitz im Ausland handelt, rechtfertigt es sich, ihr für die Aufwendungen ihres Rechtsvertreters eine Parteientschädigung von Fr. 2'425.- zuzusprechen (§ 21 i.V.m. § 3 der Verordnung über die Anwalts- gebühren [AnwGebV], LS 215.3). Der Rekurrent ist demnach zu verpflichten, der weiteren Verfahrensbeteiligten für ihre Aufwendungen einen Betrag von Fr. 2'425.- zu bezahlen (§ 17 Abs. 2 VRG).</w:t>
      </w:r>
    </w:p>
    <w:p>
      <w:r>
        <w:t>- 14 - 4. Gegen diesen Entscheid steht die Beschwerde ans Verwaltungsgericht des Kantons Zürich zur Verfügung (Entscheid des Bundesgerichts vom 22. Au- gust 2024, 1C_668/2023, insb. E. 2.1 f.).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