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VR220008 vom 16. Juni 2022</w:t>
      </w:r>
    </w:p>
    <w:p>
      <w:r>
        <w:t>ZH Obergericht, 2022-06-16, DE</w:t>
      </w:r>
    </w:p>
    <w:p>
      <w:r>
        <w:rPr>
          <w:b/>
        </w:rPr>
        <w:t xml:space="preserve">Quelle: </w:t>
      </w:r>
      <w:r>
        <w:t>https://mcp.opencaselaw.ch/entscheid/zh_obergericht_VR220008</w:t>
      </w:r>
    </w:p>
    <w:p>
      <w:r>
        <w:t>FR: ZH_OBERGERICHT VR220008 du 16 juin 2022</w:t>
      </w:r>
    </w:p>
    <w:p>
      <w:r>
        <w:t>IT: ZH_OBERGERICHT VR220008 del 16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 (nachfolgend: Rekurrentin) ist für verschiedene Sprachen im Sprachdienstleistungsverzeichnis (früher Dolmetscherverzeichnis) des Kan- tons Zürich eingetragen. Im Zuge der Einführung des Akkreditierungsverfah- rens für den Bereich Übersetzen stellte die Rekurrentin bei der Fachgrup- pe/Zentralstelle Sprachdienstleistungen (nachfolgend: Rekursgegnerin) am</w:t>
      </w:r>
    </w:p>
    <w:p>
      <w:r>
        <w:rPr>
          <w:b/>
        </w:rPr>
        <w:t>E. 4</w:t>
      </w:r>
    </w:p>
    <w:p>
      <w:r>
        <w:t>Aus dem Schreiben der Rekursgegnerin vom 20. Mai 2022 an die Rekurren- tin ergibt sich, dass das Wiedererwägungsgesuch insbesondere aufgrund einer Referenz von Oberstaatsanwalt lic. iur. X._____ gutgeheissen wurde (act. 9). Die Rekursgegnerin schloss demnach nicht mehr aus, dass die Re- kurrentin über ausgezeichnete Kenntnisse in der … Sprache verfügen wür- de, und nahm das Verfahren zur Akkreditierung insoweit wieder auf, als sie die Rekurrentin für die … Sprache zur Prüfung des Zürcher Zulassungskur- ses Übersetzen für Behörden und Gerichte zuliess (act. 9). Damit ist das vorliegende Verfahren als gegenstandslos geworden abzuschreiben.</w:t>
      </w:r>
    </w:p>
    <w:p>
      <w:r>
        <w:rPr>
          <w:b/>
        </w:rPr>
        <w:t>E. 5</w:t>
      </w:r>
    </w:p>
    <w:p>
      <w:r>
        <w:t>Die Gerichtsgebühr für das vorliegende Verfahren ist auf Fr. 500.- festzuset- zen (§ 20 GebV OG). Ausgangsgemäss sind die Kosten des Rekursverfah- rens auf die Gerichtskasse zu nehmen (§ 13 VRG; Kommentar VRG-Plüss, § 13 N 74 f.).</w:t>
      </w:r>
    </w:p>
    <w:p>
      <w:r>
        <w:rPr>
          <w:b/>
        </w:rPr>
        <w:t>E. 6</w:t>
      </w:r>
    </w:p>
    <w:p>
      <w:r>
        <w:t>Im Verfahren vor Verwaltungsbehörden werden keine Parteientschädigun- gen zugesprochen (§ 17 Abs. 1 VRG). Im Rekursverfahren kann indessen die unterliegende Amtsstelle zu einer angemessenen Entschädigung für die Umtriebe ihrer Gegenpartei verpflichtet werden, wenn die rechtsgenügende Darlegung komplizierter Sachverhalte und schwieriger Rechtsfragen beson- deren Aufwand erforderte oder den Beizug eines Rechtbeistandes rechtfer- tigte oder wenn die angefochtene Anordnung offensichtlich unbegründet war (§ 17 Abs. 2 VRG). Vorliegend liegt keiner der genannten Umstände vor, weshalb der Rekurrentin keine Parteientschädigung zuzusprechen ist.</w:t>
      </w:r>
    </w:p>
    <w:p>
      <w:r>
        <w:rPr>
          <w:b/>
        </w:rPr>
        <w:t>E. 7</w:t>
      </w:r>
    </w:p>
    <w:p>
      <w:r>
        <w:t>Hinzuweisen bleibt auf das Rechtsmittel der Beschwerde ans Bundesge- richt.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