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VR120006 vom 4. Februar 2013</w:t>
      </w:r>
    </w:p>
    <w:p>
      <w:r>
        <w:t>ZH Obergericht, 2013-02-04, DE</w:t>
      </w:r>
    </w:p>
    <w:p>
      <w:r>
        <w:rPr>
          <w:b/>
        </w:rPr>
        <w:t xml:space="preserve">Quelle: </w:t>
      </w:r>
      <w:r>
        <w:t>https://mcp.opencaselaw.ch/entscheid/zh_obergericht_VR120006</w:t>
      </w:r>
    </w:p>
    <w:p>
      <w:r>
        <w:t>FR: ZH_OBERGERICHT VR120006 du 4 février 2013</w:t>
      </w:r>
    </w:p>
    <w:p>
      <w:r>
        <w:t>IT: ZH_OBERGERICHT VR120006 del 4 febbraio 2013</w:t>
      </w:r>
    </w:p>
    <w:p>
      <w:pPr>
        <w:pStyle w:val="Heading2"/>
      </w:pPr>
      <w:r>
        <w:t>Erwägungen</w:t>
      </w:r>
    </w:p>
    <w:p>
      <w:r>
        <w:rPr>
          <w:b/>
        </w:rPr>
        <w:t>E. 1</w:t>
      </w:r>
    </w:p>
    <w:p>
      <w:r>
        <w:t>Es sei der Beschluss des Ausschusses der Fachgruppe Dolmetscher- wesen vom 15. Juni 2012 aufzuheben.</w:t>
      </w:r>
    </w:p>
    <w:p>
      <w:r>
        <w:rPr>
          <w:b/>
        </w:rPr>
        <w:t>E. 2</w:t>
      </w:r>
    </w:p>
    <w:p>
      <w:r>
        <w:t>Mit Verfügung vom 14. Juli 2012 wurde der Fachgruppe Dolmetscherwesen (nachfolgend: Rekursgegnerin) Frist angesetzt zur schriftlichen Beantwortung des Rekurses und zur Einsendung der Akten (Urk. 3). Mit Eingabe vom 17. August 2012 reichte die Rekursgegnerin die Akten und eine Vernehmlassung ein (Urk. 4 und Urk. 5 [Akten]). Auf entsprechende Fristansetzung hin (Urk. 6) ging am</w:t>
      </w:r>
    </w:p>
    <w:p>
      <w:r>
        <w:rPr>
          <w:b/>
        </w:rPr>
        <w:t>E. 2.1</w:t>
      </w:r>
    </w:p>
    <w:p>
      <w:r>
        <w:t>Gemäss der Rechtsprechung des Bundesgerichts handelt es sich bei der durch die Dolmetscherverordnung geregelten Dolmetscher- und Übersetzertätig- keit nicht um eine private Tätigkeit (vgl. Urteil des Bundesgerichts 1P.58/2004 vom 15. November 2004, Erw. 2.1 und 2.2). Dolmetscherinnen und Dolmetscher sind im Anwendungsbereich der Dolmetscherverordnung als Hilfspersonen zu be- trachten; die in diesem Rahmen ausgeübte Dolmetschertätigkeit gehört demnach zur hoheitlichen staatlichen Tätigkeit und untersteht dem öffentlichen Recht (Be-</w:t>
      </w:r>
    </w:p>
    <w:p>
      <w:r>
        <w:t>- 6 - schluss der Verwaltungskommission vom 30. Juni 2010, VR100002, Erw. 2c; vgl. auch Urteil des Bundesgerichts IP.58/2004 vom 15. November 2004, Erw. 2.2).</w:t>
      </w:r>
    </w:p>
    <w:p>
      <w:r>
        <w:rPr>
          <w:b/>
        </w:rPr>
        <w:t>E. 2.2</w:t>
      </w:r>
    </w:p>
    <w:p>
      <w:r>
        <w:t>Das vom Rekurrenten angerufene Freizügigkeitsabkommen belässt den Vertragsstaaten ausdrücklich die Befugnis, nicht nur das Recht auf Beschäftigung in der öffentlichen Verwaltung zu verweigern, wenn diese die Ausübung hoheitli- cher Befugnisse umfasst (Art. 10 Anhang I), sondern auch die selbständige Er- werbstätigkeit, die dauernd oder zeitweise mit der Ausübung öffentlicher Gewalt verbunden ist (Art. 16 Anhang I). Dabei ist massgebend, dass die Tätigkeit für sich genommen eine unmittelbare und spezifische Teilnahme an der Ausübung öffentlicher Gewalt mit einschliesst (BGE 128 I 280 E. 3). Da es sich - wie oben dargelegt - bei der im Rahmen der Dolmetscherverordnung ausgeübten Dolmet- schertätigkeit um eine hoheitliche staatliche Tätigkeit handelt, ist das Freizügig- keitsabkommen vorliegend nicht anwendbar. Im Weiteren fällt die Dolmetschertä- tigkeit auch nicht in den Schutzbereich der vom Rekurrenten zumindest sinnge- mäss angerufenen Wirtschaftsfreiheit gemäss Art. 27 BV (vgl. Entscheid des Bundesgerichts 1P.58/2004 vom 15. November 2004, Erw. 2.1 und 2.2).</w:t>
      </w:r>
    </w:p>
    <w:p>
      <w:r>
        <w:rPr>
          <w:b/>
        </w:rPr>
        <w:t>E. 2.3</w:t>
      </w:r>
    </w:p>
    <w:p>
      <w:r>
        <w:t>Damit steht fest, dass § 10 Abs. 2 lit. c der Dolmetscherverordnung bzw. die gestützt darauf beschlossene Nichtaufnahme des Rekurrenten in das Dolmet- scherverzeichnis nicht gegen das Freizügigkeitsabkommen oder die Wirtschafts- freiheit gemäss Art. 27 BV verstossen. Dass der Rekurrent die Voraussetzungen von § 10 Abs. 2 lit. c der Dolmetscherverordnung erfülle (Schweizer Bürgerrecht oder Aufenthaltsbewilligung seit mehreren Jahren), wird von ihm selber nicht gel- tend gemacht. Gemäss unwidersprochen gebliebener Darstellung der Rekurs- gegnerin ist der Rekurrent … Staatsangehöriger [des Staates B._____] und ver- fügt erst seit Juni 2012 über eine Aufenthaltsbewilligung L (Kurzaufenthaltsbewil- ligung; vgl. act. 4).</w:t>
      </w:r>
    </w:p>
    <w:p>
      <w:r>
        <w:rPr>
          <w:b/>
        </w:rPr>
        <w:t>E. 2.4</w:t>
      </w:r>
    </w:p>
    <w:p>
      <w:r>
        <w:t>Der Rekurrent erfüllt somit die Voraussetzungen von § 10 Abs. 2 lit. c der Dolmetscherverordnung nicht, weshalb er gestützt auf diese Bestimmung zu Recht nicht in das Dolmetscherverzeichnis aufgenommen wurde. Der Rekurs ist bereits aus diesen Erwägungen abzuweisen.</w:t>
      </w:r>
    </w:p>
    <w:p>
      <w:r>
        <w:t>- 7 - 3. Bei diesem Ausgang kann grundsätzlich offen bleiben, ob die Begründung der Rekursgegnerin in ihrer Stellungnahme vom 17. August 2012 zu beachten ist. Es ist jedoch darauf hinzuweisen, dass diese Ausführungen primär dazu dienen, Sinn und Zweck der Voraussetzungen von § 10 Abs. 2 lit. c der Dolmetscherver- ordnung zu erläutern. Insofern stellen diese Ausführungen - entgegen der Ansicht des Rekurrenten - keine neue Begründung dar und beziehen sich insbesondere nicht auf § 10 Abs. 2 lit. d der Dolmetscherverordnung. Sodann ist zu bemerken, dass die Rekursgegnerin keine ständige Verfügbarkeit der Dolmetscher verlangt. Vielmehr hält sie eine "grundsätzliche Einsatzbereitschaft" bzw. "eine gewisse Mobilität und Flexibilität" für erforderlich, was nicht zu beanstanden ist. Wie die Rekursgegnerin zutreffend ausführte, werden Dolmetscher nach der Aufnahme ins Dolmetscherverzeichnis vorerst zum Dolmetschen bei Polizei und Staatsan- waltschaft aufgeboten. Derartige Aufgebote erfolgen in der Regel sehr kurzfristig und erfordern zudem die persönliche Anwesenheit des Dolmetschers, da es sich dabei nicht um schriftliche Übersetzungsaufträge handelt, sondern um das Dol- metschen anlässlich von Einvernahmen. Insofern besteht - entgegen der Ansicht des Rekurrenten - durchaus ein Bezug zwischen der Ausübung der Dolmetscher- tätigkeit und dem Sitz des Auftraggebers. Die Annahme der Rekursgegnerin, der Rekurrent stehe in der Regel für derartige, kurzfristige Einsätze nicht zur Verfü- gung, ist angesichts dessen, dass er nach eigener Darstellung seinen Lebensmit- telpunkt zumindest zurzeit nicht in der Schweiz hat, nicht zu beanstanden. Es kann nicht Sinn und Zweck des Dolmetscherverzeichnisses sein, darin Personen aufzunehmen, welche faktisch für viele Einsätze gar nicht zur Verfügung stehen. Daran vermag die Geschäftsniederlassung des Rekurrenten in C._____ nichts zu ändern, gewährleistet diese doch einzig seine Erreichbarkeit, nicht jedoch seine persönliche Anwesenheit für Einsätze der oben beschriebenen Art. Auch die un- bestrittenermassen sehr hohe fachliche Qualifikation des Rekurrenten ist in die- sem Zusammenhang nicht zu berücksichtigen. 4. Der Rekurs ist folglich abzuweisen und der Beschluss der Rekursgegnerin vom 15. Juni 2012 zu bestätigen.</w:t>
      </w:r>
    </w:p>
    <w:p>
      <w:r>
        <w:t>- 8 -</w:t>
      </w:r>
    </w:p>
    <w:p>
      <w:r>
        <w:rPr>
          <w:b/>
        </w:rPr>
        <w:t>E. 5</w:t>
      </w:r>
    </w:p>
    <w:p>
      <w:r>
        <w:t>Bei diesem Ausgang hat der Rekurrent die Kosten des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