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VO150007 vom 27. Februar 2015</w:t>
      </w:r>
    </w:p>
    <w:p>
      <w:r>
        <w:t>ZH Obergericht, 2015-02-27, DE</w:t>
      </w:r>
    </w:p>
    <w:p>
      <w:r>
        <w:rPr>
          <w:b/>
        </w:rPr>
        <w:t xml:space="preserve">Quelle: </w:t>
      </w:r>
      <w:r>
        <w:t>https://mcp.opencaselaw.ch/entscheid/zh_obergericht_VO150007</w:t>
      </w:r>
    </w:p>
    <w:p>
      <w:r>
        <w:t>FR: ZH_OBERGERICHT VO150007 du 27 février 2015</w:t>
      </w:r>
    </w:p>
    <w:p>
      <w:r>
        <w:t>IT: ZH_OBERGERICHT VO150007 del 27 febbraio 2015</w:t>
      </w:r>
    </w:p>
    <w:p>
      <w:pPr>
        <w:pStyle w:val="Heading2"/>
      </w:pPr>
      <w:r>
        <w:t>Erwägungen</w:t>
      </w:r>
    </w:p>
    <w:p>
      <w:r>
        <w:rPr>
          <w:b/>
        </w:rPr>
        <w:t>E. 1</w:t>
      </w:r>
    </w:p>
    <w:p>
      <w:r>
        <w:t>Ausgangslage</w:t>
      </w:r>
    </w:p>
    <w:p>
      <w:r>
        <w:rPr>
          <w:b/>
        </w:rPr>
        <w:t>E. 1.1</w:t>
      </w:r>
    </w:p>
    <w:p>
      <w:r>
        <w:t>Mit Eingabe vom 16. Januar 2015 liess A._____ (nachfolgend: Gesuchstel- ler) durch seinen Rechtsvertreter beim Präsidenten des Obergerichts des Kantons Zürich ein Gesuch um unentgeltliche Rechtspflege und unentgeltli- che Rechtsverbeiständung für ein beim Friedensrichteramt Kloten + Flugha- fen anhängig gemachtes Schlichtungsverfahren sowie für allfällige damit zu- sammenhängende Nebenverfahren stellen (act. 1). Das Gesuch betrifft eine Klage des Gesuchstellers gegen B._____ betreffend Abänderung Unterhalt (act. 1).</w:t>
      </w:r>
    </w:p>
    <w:p>
      <w:r>
        <w:rPr>
          <w:b/>
        </w:rPr>
        <w:t>E. 1.2</w:t>
      </w:r>
    </w:p>
    <w:p>
      <w:r>
        <w:t>Auf Fristansetzung seitens des Gerichts hin (act. 6) liess der Gesuchsteller weitere Unterlagen ins Recht reichen (act. 9-11/8-19).</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unentgeltliche Rechtspflege für ein späteres Schlichtungsverfahren wird vor der Klageeinreichung nur gewährt, wenn das Schlichtungsverfahren mit hinreichender Wahrscheinlichkeit tatsächlich anhängig gemacht wird und die verbeiständete Person als klägerische Partei auftritt. Vorausgesetzt wird</w:t>
      </w:r>
    </w:p>
    <w:p>
      <w:r>
        <w:t>- 3 - damit, dass es sich um ein genau umschriebenes Prozessverfahren und nicht um eine unbestimmte Zahl erst noch zu bestimmender prozessualer oder ausserprozessualer Schritte handelt (Hauser/Schweri/Lieber, Kommen- tar zum zürcherischen Gesetz über die Gerichts- und Behördenorganisation im Zivil- und Strafprozess, Zürich/Basel/Genf 2012, § 128 N 2). Soweit sich das vorliegende Gesuch um unentgeltliche Rechtspflege auf allfällige Ne- benverfahren bezieht (vgl. act. 1 S. 2), ist das Schlichtungsverfahren man- gels konkretisierenden Angaben dazu nicht hinreichend bestimmbar. So ist im jetzigen Zeitpunkt noch offen, ob ein Schlichtungsverfahren je durchge- führt wird oder nicht. Insoweit kann dem Gesuch nicht entsprochen werden.</w:t>
      </w:r>
    </w:p>
    <w:p>
      <w:r>
        <w:rPr>
          <w:b/>
        </w:rPr>
        <w:t>E. 2.3</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w:t>
      </w:r>
    </w:p>
    <w:p>
      <w:r>
        <w:t>- 4 -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Dem Anspruch auf unentgeltliche Rechtspflege gehen allfällige gesetzliche Unterhaltspflichten wie bspw. die Unterstützungspflicht der Ehegatten ge- mäss Art. 159 und Art. 163 ZGB vor (vgl. BGE 127 I 202). Dies gilt auch für Konkubinatspartner, sofern aus dem Konkubinat gemeinsame Kinder her- vorgingen (BK ZPO-Bühler, Art. 117 N 66 und N 135; BK ZPO-Bühler, Vor- bemerkungen zu Art. 117-123 N 51). Dies ist vorliegend der Fall. Gemäss dem Präsidialentscheid der Kindes- und Erwachsenenschutzbehörde C._____ vom 25. März 2014 (act. 4/7/3) sowie dem Mietvertrag (act. 4/3) lebt der Gesuchsteller mit D._____ und dem gemeinsamen Kind E._____ zusammen. Es sind daher auch die finanziellen Verhältnisse von D._____ in die Beurteilung seiner Mittellosigkeit einzubeziehen.</w:t>
      </w:r>
    </w:p>
    <w:p>
      <w:r>
        <w:t>- 5 -</w:t>
      </w:r>
    </w:p>
    <w:p>
      <w:r>
        <w:rPr>
          <w:b/>
        </w:rPr>
        <w:t>E. 2.7</w:t>
      </w:r>
    </w:p>
    <w:p>
      <w:r>
        <w:t>Der Gesuchsteller führt aus, zurzeit erhalte er IV-Taggelder (act. 1 S. 3). Als Beleg reichte er die Taggeldabrechnungen der F._____ AHV Ausgleichs- kasse für die Monate Dezember 2013 bis November 2014 ins Recht, woraus sich eine durchschnittliche Taggeldleistung von Fr. 3'809.70 pro Monat ergibt (act. 11/17). Seine Lebenspartnerin arbeitet sodann bei der G._____ AG in H._____ und verdient einen monatlichen Nettolohn von Fr. 3'129.25 inkl. Kinderzulage von Fr. 230.- (act. 11/8). Damit ist von anrechenbaren Einkünften von Fr. 6'708.95 pro Monat (ohne Berücksichtigung der Kinderzu- lage) auszugehen. Seine Vermögenswerte belegt der Gesuchsteller mittels Kontoauszügen der Raiffeisenbank, wonach er per 18. Februar 2015 über ein Vermögen von Fr. 10'611.14 verfügte (act. 11/14). Zudem besitzt er gemäss der Steuerer- klärung 2014 ein Fahrzeug der Marke Seat Ibiza Cupra mit einem Steuer- wert von Fr. 0.- (act. 11/16 S. 4). Die Lebenspartnerin besass gemäss den Kontoauszügen der Berner Kantonalbank per 18. Februar 2015 ein Vermö- gen von Fr. 11'725.12 (act. 11/9a-b). Die anrechenbaren Vermögenswerte belaufen sich demnach auf Fr. 22'336.25. Die notwendigen Lebenshaltungskosten für sich, seine Lebenspartnerin und das minderjährige Kind beziffert und belegt er sodann wie folgt: Mietkosten Fr. 1'880.- pro Monat (act. 4/3, ohne Berücksichtigung des Garagenparkplat- zes, BSK SchKG I-Vonder Mühll, Art. 93 N 26), Krankenkassenprämien KVG Gesuchsteller Fr. 249.- pro Monat (inkl. IPV, act. 4/4), Krankenkassen- prämien KVG Partnerin ca. Fr. 220.- pro Monat (act. 11/11 bzw. www.sympany.ch zur Bestimmung der obligatorischen Beiträge), Kranken- kassenprämien KVG unmündiger Sohn Fr. 90.- pro Monat (act. 11/11 bzw. www.sympany.ch zur Bestimmung der obligatorischen Beiträge), Kinderbe- treuung minderjähriges Kind Fr. 250.- pro Monat (act. 11/12), Unterhaltsleis- tungen an die Beklagte in der Hauptsache Fr. 600.- pro Monat (act. 11/15 S. 2, act. 11/19), Arbeitsweg Fr. 400.- pro Monat (act. 1 S. 4), Kosten für Ausübung des Besuchsrechts Fr. 462.40 pro Monat (I._____-J._____ ca. 151 km/Weg à Fr. 0.60/km, 4x pro Monat, zuzüglich Pauschale von</w:t>
      </w:r>
    </w:p>
    <w:p>
      <w:r>
        <w:t>- 6 - Fr. 100.-, vgl. BK ZPO-Bühler, Art. 117 N 195 mit weiterem Verweis; Ent- scheid des Bundesgerichts 7B.145/2005 vom 11. Oktober 2005 E. 3.2.), Steuern Gesuchsteller Fr. 214.05 pro Monat (act. 11/15) sowie Steuern D._____ Fr. 181.60 pro Monat (act. 11/10). Die Kosten für Telefon, Radio und TV sind bereits im Grundbetrag enthalten und können nicht zusätzlich berücksichtigt werden (DIKE-Kommentar ZPO, Huber, Art. 117 N 49). Die Kosten für die Hausrat-/Haftpflichtversicherung und die auswärtige Verpfle- gung wurden sodann nicht ausgewiesen und finden daher keinen Eingang in die Bedarfsrechnung (vgl. insb. DIKE-Kommentar ZPO, Huber, Art. 117 N 46; Kreisschreiben der Verwaltungskommission des Obergerichts des Kantons Zürich an die Bezirksgerichte und die Betreibungsämter betr. Richt- linien für die Berechnung des betreibungsrechtlichen Existenzminimums vom 16. September 2009). Bei diesen finanziellen Verhältnissen (mtl. Ein- künfte Fr. 6'708.95, Vermögen Fr. 22'336.25, mtl. Notbedarf: Fr. 6'647.05) ist es dem Gesuchsteller und seiner Lebenspartnerin zumutbar, die relativ ge- ringen Kosten des Schlichtungsverfahrens und die damit zusammenhän- genden anwaltlichen Aufwendungen selbst zu begleichen. Es fehlt somit an der Bedürftigkeit des Gesuchstellers, weshalb das Gesuch um Gewährung der unentgeltlichen Rechtspflege und Bestellung einer unentgeltlichen Rechtsverbeiständung abzuweisen ist.</w:t>
      </w:r>
    </w:p>
    <w:p>
      <w:r>
        <w:rPr>
          <w:b/>
        </w:rPr>
        <w:t>E. 2.8</w:t>
      </w:r>
    </w:p>
    <w:p>
      <w:r>
        <w:t>Der Gesuchsteller lässt zwar den Antrag stellen, es seien die Akten des Schlichtungsverfahrens beizuziehen (act. 1 S. 2). Dies erübrigt sich indes, da die massgeblichen finanziellen Verhältnisse hinreichend bekannt sind und nicht ersichtlich ist, inwiefern die Akten des Schlichtungsverfahrens auf die Überprüfung der Bedürftigkeit und auf den Ausgang des Verfahrens ei- nen Einfluss haben könnten. Damit ist auf den Beizug der Akten des Schlichtungsverfahrens zu verzichten.</w:t>
      </w:r>
    </w:p>
    <w:p>
      <w:r>
        <w:rPr>
          <w:b/>
        </w:rPr>
        <w:t>E. 3</w:t>
      </w:r>
    </w:p>
    <w:p>
      <w:r>
        <w:t>Kosten und Rechtsmittel</w:t>
      </w:r>
    </w:p>
    <w:p>
      <w:r>
        <w:rPr>
          <w:b/>
        </w:rPr>
        <w:t>E. 3.1</w:t>
      </w:r>
    </w:p>
    <w:p>
      <w:r>
        <w:t>Gemäss Art. 119 Abs. 6 ZPO ist das Verfahren um unentgeltliche Rechts- pflege kostenlos.</w:t>
      </w:r>
    </w:p>
    <w:p>
      <w:r>
        <w:t>- 7 -</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