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VO140128 vom 11. September 2014</w:t>
      </w:r>
    </w:p>
    <w:p>
      <w:r>
        <w:t>ZH Obergericht, 2014-09-11, DE</w:t>
      </w:r>
    </w:p>
    <w:p>
      <w:r>
        <w:rPr>
          <w:b/>
        </w:rPr>
        <w:t xml:space="preserve">Quelle: </w:t>
      </w:r>
      <w:r>
        <w:t>https://mcp.opencaselaw.ch/entscheid/zh_obergericht_VO140128</w:t>
      </w:r>
    </w:p>
    <w:p>
      <w:r>
        <w:t>FR: ZH_OBERGERICHT VO140128 du 11 septembre 2014</w:t>
      </w:r>
    </w:p>
    <w:p>
      <w:r>
        <w:t>IT: ZH_OBERGERICHT VO140128 del 11 settembre 2014</w:t>
      </w:r>
    </w:p>
    <w:p>
      <w:pPr>
        <w:pStyle w:val="Heading2"/>
      </w:pPr>
      <w:r>
        <w:t>Erwägungen</w:t>
      </w:r>
    </w:p>
    <w:p>
      <w:r>
        <w:rPr>
          <w:b/>
        </w:rPr>
        <w:t>E. 1</w:t>
      </w:r>
    </w:p>
    <w:p>
      <w:r>
        <w:t>Ausgangslage</w:t>
      </w:r>
    </w:p>
    <w:p>
      <w:r>
        <w:rPr>
          <w:b/>
        </w:rPr>
        <w:t>E. 1.1</w:t>
      </w:r>
    </w:p>
    <w:p>
      <w:r>
        <w:t>Mit Eingabe vom 6. September 2014 liess A._____ (nachfolgend: Gesuch- stellerin) durch ihre Rechtsvertreterin beim Obergerichtspräsidenten ein Ge- such um unentgeltliche Rechtspflege und Bestellung einer unentgeltlichen Rechtsverbeiständung nach Art. 117 ZPO stellen. Das Gesuch betrifft eine beim Friedensrichteramt Winterthur anhängig gemachte Klage betreffend Unterhalt gegen B._____ (act. 1 und act. 3/2).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w:t>
      </w:r>
    </w:p>
    <w:p>
      <w:r>
        <w:t>- 3 -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 Konkret sind deshalb die finanziellen Verhältnisse der Mutter der Gesuch- stellerin in die Beurteilung ihrer Mittellosigkeit einzubeziehen.</w:t>
      </w:r>
    </w:p>
    <w:p>
      <w:r>
        <w:rPr>
          <w:b/>
        </w:rPr>
        <w:t>E. 2.6</w:t>
      </w:r>
    </w:p>
    <w:p>
      <w:r>
        <w:t>Zu ihren monatlichen Einkünften führt die Gesuchstellerin aus, sie absolviere die Lehre "Bäcker-Konditorin EFZ" und generiere einen monatlichen Netto- lohn von Fr. 700.- (act. 3/1 S. 2). Der Lohnabrechnung vom 5. September 2014 ist für den Monat August 2014 ein Nettolohn von Fr. 589.05 zu ent- nehmen (act. 3/9, inkl. Abzüge für Frühstück und Naturalbezüge). Ihre Ver- mögensverhältnisse belegt die Gesuchstellerin sodann mittels Kontoaus- zugs der Zürcher Kantonalbank, woraus sich per 19. August 2014 ein Kon- toguthaben von Fr. 1.15 ergibt (act. 3/6). Zu den finanziellen Verhältnissen der Kindsmutter wird im Gesuch lediglich ausgeführt, sie komme für die Mietkosten und die Krankenkassenprämien der Gesuchstellerin auf, sei nicht vermögend und habe Schulden beim Staat (act. 3/1 S. 2). Belege zu allfälligen Einkünften und ihren Vermögensverhält- nissen fehlen indes. Wie dargelegt trifft die gesuchstellende Person hinsicht- lich der Darlegung der Mittellosigkeit eine umfassende Mitwirkungspflicht. Diese gilt auch für den Nachweis der finanziellen Verhältnisse der unter- haltspflichtigen Kindsmutter. Es wäre der Vertretung der Gesuchstellerin durchaus möglich gewesen, die Einkünfte und das Vermögen der Kindsmut- ter insbesondere mittels Belegen wie der Steuererklärung, Kontoauszügen und allfälligen Lohnabrechnungen darzulegen. Blosse Behauptungen - wie sie vorliegend gegeben sind - vermögen den Anforderungen an den Nach- weis der Mittellosigkeit nicht zu genügen, weshalb die finanziellen Verhält- nisse der Kindsmutter nicht hinreichend ausgewiesen sind. Unter diesen Umständen ist es dem Gericht nicht möglich, die Mittellosigkeit der Gesuch- stellerin abschliessend zu beurteilen. Eine Fristansetzung zur Konkretisie-</w:t>
      </w:r>
    </w:p>
    <w:p>
      <w:r>
        <w:t>- 5 - rung bzw. zur Einreichung der Unterlagen drängt sich aufgrund der Rechts- vertretung der Gesuchstellerin nicht auf (vgl. hierzu Urteil der I. Zivilkammer des Obergerichts des Kantons Zürich vom 25. September 2013, Verfahren RU120030-O, E. 5b; Urteil des Bundesgerichts 4A_114/2013 vom 20. Juni 2013 E. 4.3.1 und 4.3.2, je m.w.H.; Urteil der I. Zivilkammer des Oberge- richts des Kantons Zürich vom 17. Juni 2014, Verfahren RU140014-O, E. 5.5. f.). Das Gesuch um Gewährung der unentgeltlichen Rechtspflege und Bestellung einer unentgeltlichen Rechtsverbeiständung ist daher infolge Verletzung der Mitwirkungspflicht abzuweisen. Der Gesuchstellerin ist es je- 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