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VO140124 vom 2. September 2014</w:t>
      </w:r>
    </w:p>
    <w:p>
      <w:r>
        <w:t>ZH Obergericht, 2014-09-02, DE</w:t>
      </w:r>
    </w:p>
    <w:p>
      <w:r>
        <w:rPr>
          <w:b/>
        </w:rPr>
        <w:t xml:space="preserve">Quelle: </w:t>
      </w:r>
      <w:r>
        <w:t>https://mcp.opencaselaw.ch/entscheid/zh_obergericht_VO140124</w:t>
      </w:r>
    </w:p>
    <w:p>
      <w:r>
        <w:t>FR: ZH_OBERGERICHT VO140124 du 2 septembre 2014</w:t>
      </w:r>
    </w:p>
    <w:p>
      <w:r>
        <w:t>IT: ZH_OBERGERICHT VO140124 del 2 settembre 2014</w:t>
      </w:r>
    </w:p>
    <w:p>
      <w:pPr>
        <w:pStyle w:val="Heading2"/>
      </w:pPr>
      <w:r>
        <w:t>Erwägungen</w:t>
      </w:r>
    </w:p>
    <w:p>
      <w:r>
        <w:rPr>
          <w:b/>
        </w:rPr>
        <w:t>E. 1</w:t>
      </w:r>
    </w:p>
    <w:p>
      <w:r>
        <w:t>Ausgangslage</w:t>
      </w:r>
    </w:p>
    <w:p>
      <w:r>
        <w:rPr>
          <w:b/>
        </w:rPr>
        <w:t>E. 1.1</w:t>
      </w:r>
    </w:p>
    <w:p>
      <w:r>
        <w:t>Mit Eingabe vom 26. August 2014 liess A._____ (nachfolgend: Gesuchstel- ler) beim Obergerichtspräsidenten durch seine Rechtsvertreterin ein Gesuch um unentgeltliche Rechtspflege und Rechtsverbeiständung nach Art. 117 ZPO stellen. Das Gesuch betrifft eine beim Friedensrichteramt B._____ an- hängig gemachte Klage betreffend Abänderung Unterhalt C._____ (act. 1 und act. 4/2).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w:t>
      </w:r>
    </w:p>
    <w:p>
      <w:r>
        <w:t>- 3 -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insbesondere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Unterstützungspflicht der Ehegatten ge- mäss Art. 159 und Art. 163 ZGB vor (vgl. BGE 127 I 202), weshalb vorlie-</w:t>
      </w:r>
    </w:p>
    <w:p>
      <w:r>
        <w:t>- 4 - gend insbesondere zu prüfen ist, ob der Gesuchsteller nicht auf der Grund- lage solcher Verpflichtungen die nötigen finanziellen Mittel erhältlich machen kann. Konkret sind deshalb die finanziellen Verhältnisse der Ehegattin des Gesuchstellers in die Beurteilung seiner Mittellosigkeit einzubeziehen.</w:t>
      </w:r>
    </w:p>
    <w:p>
      <w:r>
        <w:rPr>
          <w:b/>
        </w:rPr>
        <w:t>E. 2.6</w:t>
      </w:r>
    </w:p>
    <w:p>
      <w:r>
        <w:t>Zu seinen Einkünften lässt der Gesuchsteller ausführen, er arbeite zu 100 Prozent bei den regionalen Verkehrsbetrieben Schaffhausen und generiere einschliesslich des 13. Monatslohns ein monatliches Erwerbseinkommen von Fr. 5'777.95 netto (act. 1 S. 3). Als Beleg reichte er die Lohnabrechnung Januar 2014 ins Recht (act. 4/10). Seine Ehefrau befinde sich bis im No- vember 2013 im Mutterschaftsurlaub, das Arbeitsverhältnis habe sie bereits aufgelöst (act. 1 S. 4). Entgegen der gesuchstellerischen Ansicht ist die Mut- terschaftsentschädigung der Ehegattin in der Bedarfsrechnung zu berück- sichtigen, da auf die aktuelle finanzielle Situation abzustellen und davon auszugehen ist, dass das Schlichtungsverfahren vor Beendigung der Mut- terschaftsleistungen durchgeführt wird. Gemäss der Steuererklärung 2013 generierte die Ehegattin im Jahr 2013 aus ihrer Haupterwerbstätigkeit ein monatliches Nettoerwerbseinkommen von Fr. 2'775.75 (exkl. Kinderzulage). Im Mutterschaftsurlaub stehen ihr grundsätzlich 80% des besagten Lohnes, somit Fr. 2'220.60 zu. Insgesamt belaufen sich die anrechenbaren Einkünfte der Ehegatten somit auf Fr. 7'998.55 pro Monat. Zu ihren Vermögensverhältnissen lässt der Gesuchsteller Kontobelege der Clientis BS Bank Schaffhausen ins Recht reichen, wonach das Privatkonto des Gesuchstellers per 26. August 2014 einen Saldo von Fr. 626.35 und die verschiedenen Konti der Ehegattin insgesamt einen Saldo von minus Fr. 3'587.- (einschliesslich eines Vorsorgekontos 3a mit einem positiven Sal- do von Fr. 400.-) aufwiesen (act. 4/19-20). Die Ehegattin des Gesuchstellers ist sodann Gesellschafterin der D._____ GmbH in Liquidation und hält ge- mäss aktuellem Handelsregisterauszug Stammanteile im Wert von Fr. 20'000.- (act. 4/11). Diese sind zum Vermögen hinzuzurechnen. Zudem besitzen die Ehegatten ein Fahrzeug der Marke VW mit einem Steuerwert von Fr. 2'900.- (act. 4/13 S. 5). Im Weiteren ist die Ehegattin Eigentümerin</w:t>
      </w:r>
    </w:p>
    <w:p>
      <w:r>
        <w:t>- 5 - einer Liegenschaft mit einem Steuerwert von Fr. 592'000.- (act. 4/13 S. 5 und 8). Den Vermögenswerten stehen Schulden, insbesondere Hypothekar- schulden, von insgesamt Fr. 614'684.- gegenüber (act. 4/13 S. 12). Die notwendigen Lebenshaltungskosten für sich, die Ehegattin und die bei- den gemeinsamen Kinder lässt der Gesuchsteller sodann wie folgt beziffern und belegen: Mietkosten Fr. 1'350.75 pro Monat (Hypothekarzinsen, act. 4/13 S. 12), Nebenkosten Fr. 493.35 pro Monat, Gebäudeversicherung Fr. 18.30 pro Monat (act. 4/14), Krankenkassenprämien Gesuchsteller, Ehe- gattin, Sohn E._____ Fr. 800.65 pro Monat (act. 4/16, wobei grundsätzlich nur die nicht ausgeschiedenen Prämien nach KVG zu berücksichtigen wä- ren), Krankenkassenprämien KVG Tochter F._____ Fr. 76.15 pro Monat (act. 4/17), Selbstbehalte/Franchise Fr. 186.10 pro Monat (act. 4/15), Wehr- pflichtersatz Fr. 75.- pro Monat sowie Steuern Fr. 527.55 pro Monat (act. 4/13 S. 1). Für den Arbeitsweg macht der Gesuchsteller Kosten von Fr. 303.80 pro Mo- nat geltend. Da er sich jedoch nicht auf den Standpunkt stellt, dem Fahrzeug komme Kompetenzcharakter zu, können die Auslagen nur im Umfang der Kosten für die Benützung der öffentlichen Verkehrsmittel berücksichtigt wer- den (DIKE-Kommentar ZPO, Huber, Art. 117 N 46), mithin mit einem Betrag von Fr. 157.- (Strecke …, 3 Zonen, Tageskarte Fr. 7.20, durchschnittlich 21,7 Arbeitstage pro Monat). Die Kosten für Telefon, Internet und TV sind bereits im Grundbetrag enthal- ten und können nicht zusätzlich berücksichtigt werden (DIKE-Kommentar ZPO, Huber, Art. 117 N 49). Die Kosten für die auswärtige Verpflegung wur- den sodann nicht ausgewiesen und finden daher keinen Eingang in die Be- darfsrechnung (vgl. insb. DIKE-Kommentar ZPO, Huber, Art. 117 N 46; Kreisschreiben der Verwaltungskommission des Obergerichts des Kantons Zürich an die Bezirksgerichte und die Betreibungsämter betr. Richtlinien für die Berechnung des betreibungsrechtlichen Existenzminimums vom 16. September 2009). Die Kosten für das Rückentraining sind ebenfalls nicht in die Bedarfsrechnung aufzunehmen, da nicht geltend gemacht wird, es</w:t>
      </w:r>
    </w:p>
    <w:p>
      <w:r>
        <w:t>- 6 - handle sich um notwendige Gesundheitskosten (vgl. DIKE-Kommentar ZPO, Huber, Art. 117 N 50). Bei diesen finanziellen Verhältnissen (Einkommen: Fr. 7'998.55 pro Monat exkl. Kinderzulagen, kein anrechenbares Vermögen, Notbedarf: Fr. 6'184.85 pro Monat, inkl. Grundbeträge von insgesamt Fr. 2'500.-) ist es dem Ge- suchsteller zumutbar, für die relativ geringen Kosten des Schlichtungsver- fahrens und die damit zusammenhängenden anwaltlichen Aufwendungen aufzukommen. Es fehlt damit am Erfordernis der Mittellosigkeit des Gesuch- stellers, weshalb das Gesuch um unentgeltliche Rechtspflege abzuweisen ist. Auf eine Prüfung der weiteren Voraussetzungen der fehlenden Aus- sichtslosigkeit des Begehrens in der Hauptsache und der Notwendigkeit ei- ner unentgeltlichen Rechtsverbeiständung kann unter diesen Umständen verzichtet werden. Dem Gesuchsteller ist es jedoch unbenommen, bei ei- 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w:t>
      </w:r>
    </w:p>
    <w:p>
      <w:r>
        <w:t>- 7 -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