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VO140075 vom 23. Mai 2014</w:t>
      </w:r>
    </w:p>
    <w:p>
      <w:r>
        <w:t>ZH Obergericht, 2014-05-23, DE</w:t>
      </w:r>
    </w:p>
    <w:p>
      <w:r>
        <w:rPr>
          <w:b/>
        </w:rPr>
        <w:t xml:space="preserve">Quelle: </w:t>
      </w:r>
      <w:r>
        <w:t>https://mcp.opencaselaw.ch/entscheid/zh_obergericht_VO140075</w:t>
      </w:r>
    </w:p>
    <w:p>
      <w:r>
        <w:t>FR: ZH_OBERGERICHT VO140075 du 23 mai 2014</w:t>
      </w:r>
    </w:p>
    <w:p>
      <w:r>
        <w:t>IT: ZH_OBERGERICHT VO140075 del 23 maggio 2014</w:t>
      </w:r>
    </w:p>
    <w:p>
      <w:pPr>
        <w:pStyle w:val="Heading2"/>
      </w:pPr>
      <w:r>
        <w:t>Erwägungen</w:t>
      </w:r>
    </w:p>
    <w:p>
      <w:r>
        <w:rPr>
          <w:b/>
        </w:rPr>
        <w:t>E. 1</w:t>
      </w:r>
    </w:p>
    <w:p>
      <w:r>
        <w:t>Ausgangslage</w:t>
      </w:r>
    </w:p>
    <w:p>
      <w:r>
        <w:rPr>
          <w:b/>
        </w:rPr>
        <w:t>E. 1.1</w:t>
      </w:r>
    </w:p>
    <w:p>
      <w:r>
        <w:t>Mit Eingabe vom 21. Mai 2014 liess A._____ (nachfolgend: Gesuchstellerin) als gesetzliche Vertreterin von B._____ beim Präsidenten des Obergerichts des Kantons Zürich ein Gesuch um unentgeltliche Rechtspflege und unent- geltliche Rechtsverbeiständung für ein beim Friedensrichteramt … hängiges Schlichtungsverfahren stellen (act. 1). Das Schlichtungsverfahren betrifft ei- ne Klage auf Abänderung der an den minderjährigen Sohn zu bezahlenden Unterhaltsleistungen von C._____ gegen die Gesuchstellerin (act. 1 Rz 2, act. 4/2).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lässt die Gewährung der unentgeltlichen Rechtspflege beantragen, mithin also die Befreiung von Kosten für das Schlichtungsver- fahren (act. 1). Im Verfahren vor dem Friedensrichteramt … ist die Gesuch- stellerin in der Rolle der beklagten Partei (act. 4/2). Die Kosten des Schlich- tungsverfahrens werden grundsätzlich der klagenden Partei auferlegt (Art. 207 ZPO), weshalb die beklagte Gesuchstellerin für das betreffende</w:t>
      </w:r>
    </w:p>
    <w:p>
      <w:r>
        <w:t>- 3 - Verfahren bezüglich der Verfahrenskosten kein Kostenrisiko zu tragen hat. Damit besteht auch kein Interesse um Gewährung der unentgeltlichen Rechtspflege für das Schlichtungsverfahren. Auf das Gesuch bezüglich Ge- währung der unentgeltlichen Rechtspflege im Sinne von Art. 118 Abs. 1 lit. b ZPO ist daher nicht einzutreten.</w:t>
      </w:r>
    </w:p>
    <w:p>
      <w:r>
        <w:rPr>
          <w:b/>
        </w:rPr>
        <w:t>E. 2.3</w:t>
      </w:r>
    </w:p>
    <w:p>
      <w:r>
        <w:t>Zu prüfen ist jedoch, ob der Gesuchstellerin eine unentgeltliche Rechtsbei- ständin in der Person von Rechtsanwältin lic. iur. X._____ zu bestellen ist. Eine Person hat Anspruch auf die Bestellung einer unentgeltlichen Rechts- verbeiständung, wenn sie nicht über die erforderlichen Mittel verfügt (sog. "Mittellosigkeit" oder "Bedürftigkeit"), ihr Rechtsbegehren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w:t>
      </w:r>
    </w:p>
    <w:p>
      <w:r>
        <w:t>- 4 - sind die wirtschaftlichen Verhältnisse im Zeitpunkt der Gesuchstellung (Em- mel, a.a.O., Art. 117 N 4).</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Die Gesuchstellerin lässt ausführen, sie arbeite zu 50 Prozent bei D._____ in … und habe im vergangenen Jahr ein durchschnittliches Einkommen von Fr. 1'213.35 pro Monat generiert. In den letzten vier Monaten habe sich das durchschnittliche Monatseinkommen auf Fr. 2'595.85 netto erhöht (act. 1 Rz 4 f.). Dieses weist sie mittels der Lohnabrechnungen für die Monate Ja- nuar bis April 2014 nach (act. 4/6-9). Ihre Vermögenswerte belegt die Gesuchstellerin mittels Kontoauszugs der Raiffeisen Bank, woraus hervorgeht, dass das Konto per 9. Mai 2014 einen Saldo von Fr. 1'017.36 aufwies (act. 4/10). Hinsichtlich der notwendigen Lebenshaltungskosten sind in der Bedarfs- rechnung infolge der aktenkundigen Alimentenbevorschussung seitens des Amts für Jugend und Berufsberatung (act. 4/17) die Lebenshaltungskosten des minderjährigen Sohnes nicht zu berücksichtigen (BK ZPO Bühler, Art. 117 N 150). Die notwendigen Lebenshaltungskosten beziffert und belegt die Gesuchstel- lerin wie folgt: Mietkosten Fr. 830.- pro Monat (act. 4/10, act. 4/17 sowie act. 4/11, Fr. 1'200.- abzüglich Wohnkosten für den minderjährigen Sohn von Fr. 370.- gemäss Tabelle des Amtes für Jugend und Berufsberatung des Kantons Zürich) sowie Krankenkassenprämien KVG Fr. 280.75 (act. 4/16). Die Kosten für Telefon sind bereits im Grundbetrag enthalten und können</w:t>
      </w:r>
    </w:p>
    <w:p>
      <w:r>
        <w:t>- 5 - nicht zusätzlich berücksichtigt werden (DIKE-Kommentar, Huber, Art. 117 N 49). Die Aufwendungen für die Privathaftpflichtversicherung, die auswärti- ge Verpflegung und die Steuern wurden sodann nicht belegt und finden da- her keinen Eingang in die Bedarfsrechnung. Dennoch kann die Gesuchstel- lerin unter Berücksichtigung des Grundbetrags von Fr. 1'250.- bei diesen fi- nanziellen Verhältnissen (monatliches Einkommen Fr. 2'595.85, Vermögen Fr. 1'017.36, monatlicher Notbedarf: Fr. 2'360.75) nicht angehalten werden, die im Zusammenhang mit dem Schlichtungsverfahren anfallenden Anwalts- kosten selbst zu begleichen. Das Erfordernis der Mittellosigkeit der Gesuch- 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 Die Aussichtslosigkeit ist unabhängig von der Parteirolle für eine klagende wie für eine beklagte Partei grundsätzlich nach den gleichen Kriterien zu beurteilen (BSK ZPO-Rüegg, Art. 117 N 18). Demnach ist auch für die Beurteilung der fehlenden Aussichtslosigkeit auf Seiten der beklagten Partei eine gewisse Prozessprognose vonnöten. Die beklagte Partei hat darzutun, weshalb sie der Ansicht ist, sich zu Recht ge- gen die sie gerichteten Ansprüche zu wehren.</w:t>
      </w:r>
    </w:p>
    <w:p>
      <w:r>
        <w:rPr>
          <w:b/>
        </w:rPr>
        <w:t>E. 2.8</w:t>
      </w:r>
    </w:p>
    <w:p>
      <w:r>
        <w:t>Die Gesuchstellerin lässt zum Begehren in der Hauptsache ausführen, der Kläger begründe die Herabsetzung der Unterhaltsbeiträge mit den erhöhten Lebenshaltungskosten in Deutschland. Die Argumente des Klägers würden nicht vollumfänglich überzeugen (act. 1 Rz 17). Gemäss Art. 286 Abs. 2 ZGB setzt das Gericht den Unterhaltsbeitrag bei er- heblicher Veränderung der Verhältnisse auf Antrag eines Elternteils oder</w:t>
      </w:r>
    </w:p>
    <w:p>
      <w:r>
        <w:t>- 6 - des Kindes neu fest oder hebt ihn auf. Die Abänderung des Unterhaltsbei- trages ist nur bei einer erheblichen Veränderung der Verhältnisse möglich. Selbst wenn sich die finanziellen Verhältnisse des Klägers in der Hauptsa- che aufgrund der Erhöhung der Lebenshaltungskosten verändert haben soll- ten (vgl. auch act. 1 Rz 17), so ist im jetzigen Zeitpunkt noch offen, ob die Veränderung erheblich ist oder nicht. Damit erweist sich der Standpunkt der Gesuchstellerin aus heutiger Perspektive nicht von vornherein als aussichts- los.</w:t>
      </w:r>
    </w:p>
    <w:p>
      <w:r>
        <w:rPr>
          <w:b/>
        </w:rPr>
        <w:t>E. 2.9</w:t>
      </w:r>
    </w:p>
    <w:p>
      <w:r>
        <w:t>Damit die Bestellung einer Rechtsverbeiständung im Schlichtungsverfahren schliesslich als notwendig erscheint, bedarf es ganz besonderer Umstände. Eine Partei hat Anspruch auf die gerichtliche Bestellung eines Rechtsbei- standes, wenn ihre Interessen in schwerwiegender Weise betroffen sind und der Fall in tatsächlicher und rechtlicher Hinsicht Schwierigkeiten bietet, die den Beizug eines Rechtsvertreters erforderlich machen (Emmel, a.a.O., Art. 118 N 5). Nebst der Komplexität der Rechtsfragen und der Unübersicht- lichkeit des Sachverhaltes sind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2.10</w:t>
      </w:r>
    </w:p>
    <w:p>
      <w:r>
        <w:t>Das Erfordernis der Notwendigkeit einer unentgeltlichen Rechtsverbeistän- dung ist vorliegend zu bejahen. Aufgrund der eingereichten Unterlagen und des geschilderten Sachverhalts ist davon auszugehen, dass die beabsichtig- te Klage durchaus anspruchsvolle Abklärungen erforderlich machen kann. Insbesondere die Berechnung des konkreten, der Gesuchstellerin zustehen- den Anspruchs für ihr unmündiges Kind ist von gewisser Komplexität. Die sachliche Notwendigkeit der unentgeltlichen Rechtsverbeiständung im Sinne von Art. 118 Abs. 1 lit. c ZPO ist damit zu bejahen.</w:t>
      </w:r>
    </w:p>
    <w:p>
      <w:r>
        <w:t>- 7 -</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