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VO130098 vom 27. Juni 2013</w:t>
      </w:r>
    </w:p>
    <w:p>
      <w:r>
        <w:t>ZH Obergericht, 2013-06-27, DE</w:t>
      </w:r>
    </w:p>
    <w:p>
      <w:r>
        <w:rPr>
          <w:b/>
        </w:rPr>
        <w:t xml:space="preserve">Quelle: </w:t>
      </w:r>
      <w:r>
        <w:t>https://mcp.opencaselaw.ch/entscheid/zh_obergericht_VO130098</w:t>
      </w:r>
    </w:p>
    <w:p>
      <w:r>
        <w:t>FR: ZH_OBERGERICHT VO130098 du 27 juin 2013</w:t>
      </w:r>
    </w:p>
    <w:p>
      <w:r>
        <w:t>IT: ZH_OBERGERICHT VO130098 del 27 giugno 2013</w:t>
      </w:r>
    </w:p>
    <w:p>
      <w:pPr>
        <w:pStyle w:val="Heading2"/>
      </w:pPr>
      <w:r>
        <w:t>Erwägungen</w:t>
      </w:r>
    </w:p>
    <w:p>
      <w:r>
        <w:rPr>
          <w:b/>
        </w:rPr>
        <w:t>E. 1</w:t>
      </w:r>
    </w:p>
    <w:p>
      <w:r>
        <w:t>Ausgangslage</w:t>
      </w:r>
    </w:p>
    <w:p>
      <w:r>
        <w:rPr>
          <w:b/>
        </w:rPr>
        <w:t>E. 1.1</w:t>
      </w:r>
    </w:p>
    <w:p>
      <w:r>
        <w:t>Mit Eingabe vom 19. Juni 2013 ersuchte A._____ (nachfolgend: Gesuchstellerin) beim Obergericht des Kantons Zürich um Gewährung der unentgeltlichen Rechtspflege für ein Schlichtungsverfahren beim Friedensrichteramt B._____ betreffend eine Forderungsklage gegen C._____. Zudem beantragte sie die Bestellung eines unentgeltlichen Rechtsbeistandes (act. 1 und 2/1).</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notwendigen Lebensunterhalts (sog. "zivilprozessualer Notbedarf") das massgebliche Einkommen übersteigt bzw. aus der Differenz nur ein kleiner Überschuss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in: Kommentar zur Schweizerischen Zivilprozessordnung, Sutter- Somm/Hasenböhler/Leuenberger [Hrsg.], Zürich/Basel/Genf 2010, Art. 117 N 9). Massgebend sind die wirtschaftlichen Verhältnisse im Zeitpunkt der Gesuchstellung (Emmel, a.a.O., Art. 117 N 4). 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Vermögens über den zivilprozessualen Notbedarf bestritten werden.</w:t>
      </w:r>
    </w:p>
    <w:p>
      <w:r>
        <w:rPr>
          <w:b/>
        </w:rPr>
        <w:t>E. 2.3</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t>- 4 -</w:t>
      </w:r>
    </w:p>
    <w:p>
      <w:r>
        <w:rPr>
          <w:b/>
        </w:rPr>
        <w:t>E. 2.4</w:t>
      </w:r>
    </w:p>
    <w:p>
      <w:r>
        <w:t>Den ins Recht gereichten Unterlagen der Gesuchstellerin ist zu entnehmen, dass sie einen Coiffeursalon betreibt und nebenbei bei der D._____ AG arbeitet. Aus ihrer Tätigkeit als Friseurin generiert sie keine Einkünfte, ihr Nettoeinkommen bei der D._____ AG betrug im Mai 2013 Fr. 2'259.- (act. 2/5 und act. 2/7). Ihre Vermögenswerte von rund Fr. 243.- belegt die Gesuchstellerin mittels Kontoauszügen der E._____ [Bank] (act. 2/4). Ihre notwendigen Lebenshaltungskosten von insgesamt Fr. 1'530.- für Mietkosten und Fr. 280.- für Krankenkassenprämien (act. 1 S. 2) hat die Gesuchstellerin nicht belegt. Wie erwogen ist es Aufgabe der gesuchstellenden Person, den Nachweis der Mittellosigkeit zu erbringen und damit die Einkommens- und Vermögensverhältnisse sowie die notwendigen Lebenshaltungskosten offenzulegen und zu belegen (Entscheid des Bundesgerichts 4A_87/2007 E. 2.1; Emmel, a.a.O., Art. 119 N 6). Diese Mitwirkungspflicht ist umfassend und gilt auch für die notwendigen Lebenshaltungskosten. Indem die Gesuchstellerin davon abgesehen hat, die notwendigen Lebenshaltungskosten zu belegen, ist sie ihrer Mitwirkungspflicht nicht nachgekommen. Eine Fristansetzung zur Einreichung der notwendigen Belege drängt sich infolge des Hinweises im Formular "Gesuch um unentgeltliche Rechtspflege für das Schlichtungsverfahren", wonach dem Gesuch nebst der letzten Steuererklärung und den Belegen zu sämtlichen Einkünften und zu allen Vermögenspositionen auch Dokumente zu den geltend gemachten Auslagenpositionen beizulegen seien und unvollständige Angaben sowie fehlende Belege ohne weitere Nachfrage zur Abweisung des Gesuchs führen könnten (act. 1 S. 5), nicht auf (vgl. auch Beschluss und Urteil der II. Zivilkammer des Obergerichts des Kantons Zürich vom 25. April 2013, RU130019). Unter diesen Umständen ist es dem Obergerichtspräsidenten nicht möglich, die Bedürftigkeit hinreichend zu beurteilen. Das Gesuch um unentgeltliche Rechtspflege ist daher abzuweisen.</w:t>
      </w:r>
    </w:p>
    <w:p>
      <w:r>
        <w:t>- 5 -</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